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64FC" w14:textId="77777777" w:rsidR="00654732" w:rsidRDefault="00654732" w:rsidP="00B87C17">
      <w:pPr>
        <w:pStyle w:val="Heading2"/>
        <w:rPr>
          <w:iCs w:val="0"/>
          <w:kern w:val="32"/>
          <w:sz w:val="44"/>
          <w:szCs w:val="32"/>
        </w:rPr>
      </w:pPr>
      <w:r>
        <w:rPr>
          <w:iCs w:val="0"/>
          <w:kern w:val="32"/>
          <w:sz w:val="44"/>
          <w:szCs w:val="32"/>
        </w:rPr>
        <w:t>Australian Government</w:t>
      </w:r>
    </w:p>
    <w:p w14:paraId="2A20A7FA" w14:textId="7B5ACD56" w:rsidR="006629E5" w:rsidRDefault="006629E5" w:rsidP="00B87C17">
      <w:pPr>
        <w:pStyle w:val="Heading2"/>
        <w:rPr>
          <w:iCs w:val="0"/>
          <w:kern w:val="32"/>
          <w:sz w:val="44"/>
          <w:szCs w:val="32"/>
        </w:rPr>
      </w:pPr>
      <w:r w:rsidRPr="006629E5">
        <w:rPr>
          <w:iCs w:val="0"/>
          <w:kern w:val="32"/>
          <w:sz w:val="44"/>
          <w:szCs w:val="32"/>
        </w:rPr>
        <w:t>Response to the myGov User Audit Report</w:t>
      </w:r>
    </w:p>
    <w:p w14:paraId="0D7D95AF" w14:textId="77777777" w:rsidR="006629E5" w:rsidRPr="001541FD" w:rsidRDefault="006629E5" w:rsidP="006629E5">
      <w:pPr>
        <w:pStyle w:val="BodyText"/>
        <w:rPr>
          <w:b/>
          <w:bCs/>
        </w:rPr>
      </w:pPr>
      <w:r w:rsidRPr="001541FD">
        <w:rPr>
          <w:b/>
          <w:bCs/>
        </w:rPr>
        <w:t>Independent Audit ‘Critical National Infrastructure – myGov User Audit’</w:t>
      </w:r>
    </w:p>
    <w:p w14:paraId="3C4C934A" w14:textId="25E411F3" w:rsidR="006629E5" w:rsidRPr="001541FD" w:rsidRDefault="006629E5" w:rsidP="006629E5">
      <w:pPr>
        <w:pStyle w:val="BodyText"/>
        <w:rPr>
          <w:b/>
          <w:bCs/>
          <w:iCs/>
        </w:rPr>
      </w:pPr>
      <w:r w:rsidRPr="001541FD">
        <w:rPr>
          <w:b/>
          <w:bCs/>
        </w:rPr>
        <w:t>October 2023</w:t>
      </w:r>
    </w:p>
    <w:p w14:paraId="72E9A682" w14:textId="77777777" w:rsidR="006629E5" w:rsidRDefault="006629E5" w:rsidP="006629E5">
      <w:pPr>
        <w:pStyle w:val="Heading2"/>
      </w:pPr>
      <w:r>
        <w:t>Introduction</w:t>
      </w:r>
    </w:p>
    <w:p w14:paraId="08A5D07A" w14:textId="77777777" w:rsidR="006629E5" w:rsidRDefault="006629E5" w:rsidP="006629E5">
      <w:pPr>
        <w:pStyle w:val="BodyText"/>
      </w:pPr>
      <w:r>
        <w:t>myGov is one of the most heavily used digital platforms in Australia, providing a centralised entry point for people to access critical government services. It has become an indispensable piece of Australian national digital infrastructure, serving as a fundamental link to connect people to government.</w:t>
      </w:r>
    </w:p>
    <w:p w14:paraId="5C3B868D" w14:textId="77777777" w:rsidR="006629E5" w:rsidRDefault="006629E5" w:rsidP="006629E5">
      <w:pPr>
        <w:pStyle w:val="BodyText"/>
      </w:pPr>
      <w:r>
        <w:t xml:space="preserve">myGov started as a secure authentication solution for a few government services and has grown to become one of the most heavily relied upon government platforms, with approximately 26 million active accounts, 3.3 million app users and more than 782,000 sign ins per day. Currently, it provides secure and rapid access to a range of government services, some whole-of-government content, and a number of supporting capabilities, such as the inbox. </w:t>
      </w:r>
    </w:p>
    <w:p w14:paraId="72A5ABD5" w14:textId="77777777" w:rsidR="006629E5" w:rsidRDefault="006629E5" w:rsidP="006629E5">
      <w:pPr>
        <w:pStyle w:val="BodyText"/>
      </w:pPr>
      <w:r>
        <w:t xml:space="preserve">The myGov User Audit commenced in September 2022 and was conducted by an independent audit panel. The aim of the audit was to review the current state and possibilities for myGov and make recommendations to shape its future direction. </w:t>
      </w:r>
    </w:p>
    <w:p w14:paraId="58BDF7B3" w14:textId="77777777" w:rsidR="006629E5" w:rsidRDefault="006629E5" w:rsidP="006629E5">
      <w:pPr>
        <w:pStyle w:val="BodyText"/>
      </w:pPr>
      <w:r>
        <w:t xml:space="preserve">The independent audit panel consulted with users, industry, and peak bodies, and engaged all tiers of government to inform their findings. </w:t>
      </w:r>
    </w:p>
    <w:p w14:paraId="0AD46878" w14:textId="77777777" w:rsidR="006629E5" w:rsidRDefault="006629E5" w:rsidP="006629E5">
      <w:pPr>
        <w:pStyle w:val="BodyText"/>
      </w:pPr>
      <w:r>
        <w:t xml:space="preserve">The critical national infrastructure–myGov User Audit report (the report) was publicly released by Senator the Hon Katy Gallagher, Minister for Finance and Minister for Women and the Public Service, and the Hon Bill Shorten, Minister for the National Disability Insurance Scheme and Minister for Government Services, on 31 January 2023. </w:t>
      </w:r>
    </w:p>
    <w:p w14:paraId="11B8804A" w14:textId="77777777" w:rsidR="006629E5" w:rsidRDefault="006629E5" w:rsidP="006629E5">
      <w:pPr>
        <w:pStyle w:val="BodyText"/>
      </w:pPr>
      <w:r>
        <w:t xml:space="preserve">Volume 1 of the report contains the panel’s 10 findings and 10 recommendations. These go to the heart of systemic issues and set the pathway to fulfil myGov’s potential as critical national infrastructure. </w:t>
      </w:r>
    </w:p>
    <w:p w14:paraId="6E1E4F4D" w14:textId="77777777" w:rsidR="006629E5" w:rsidRDefault="006629E5" w:rsidP="006629E5">
      <w:pPr>
        <w:pStyle w:val="BodyText"/>
      </w:pPr>
      <w:r>
        <w:t xml:space="preserve">Volume 2 of the report contains detailed analysis and guiding actions to meet Australians’ needs and expectations for digital government services. </w:t>
      </w:r>
    </w:p>
    <w:p w14:paraId="1BD53490" w14:textId="77777777" w:rsidR="006629E5" w:rsidRDefault="006629E5" w:rsidP="006629E5">
      <w:pPr>
        <w:pStyle w:val="BodyText"/>
      </w:pPr>
      <w:r>
        <w:t xml:space="preserve">In the 2023–24 Budget, Government invested a further $134.5 million to operate and maintain the myGov platform. </w:t>
      </w:r>
    </w:p>
    <w:p w14:paraId="3658956D" w14:textId="77777777" w:rsidR="006629E5" w:rsidRDefault="006629E5" w:rsidP="006629E5">
      <w:pPr>
        <w:pStyle w:val="Heading2"/>
      </w:pPr>
      <w:r>
        <w:t xml:space="preserve">Foreword </w:t>
      </w:r>
    </w:p>
    <w:p w14:paraId="7F693FE0" w14:textId="77777777" w:rsidR="006629E5" w:rsidRDefault="006629E5" w:rsidP="006629E5">
      <w:pPr>
        <w:pStyle w:val="BodyText"/>
      </w:pPr>
      <w:r>
        <w:t xml:space="preserve">We welcome the myGov User Audit Report (the report) which presents us with an opportunity to fundamentally reshape the way government services are delivered. </w:t>
      </w:r>
    </w:p>
    <w:p w14:paraId="03C466F2" w14:textId="77777777" w:rsidR="006629E5" w:rsidRDefault="006629E5" w:rsidP="006629E5">
      <w:pPr>
        <w:pStyle w:val="BodyText"/>
      </w:pPr>
      <w:r>
        <w:rPr>
          <w:spacing w:val="-2"/>
        </w:rPr>
        <w:t xml:space="preserve">Thank you to the independent panel chaired by Mr David Thodey AO, with Professor Edward Santow, </w:t>
      </w:r>
      <w:r>
        <w:rPr>
          <w:spacing w:val="-4"/>
        </w:rPr>
        <w:t xml:space="preserve">Professor Emily Banks AM, Commissioner Julie Inman Grant and Mr Amit Singh, for their comprehensive </w:t>
      </w:r>
      <w:r>
        <w:t xml:space="preserve">review and thought-leadership. </w:t>
      </w:r>
    </w:p>
    <w:p w14:paraId="20ADFB0D" w14:textId="77777777" w:rsidR="006629E5" w:rsidRDefault="006629E5" w:rsidP="006629E5">
      <w:pPr>
        <w:pStyle w:val="BodyText"/>
      </w:pPr>
      <w:r>
        <w:t xml:space="preserve">myGov is a recognised government brand and is part of most Australians’ lives. Today there are </w:t>
      </w:r>
      <w:r>
        <w:rPr>
          <w:spacing w:val="-5"/>
        </w:rPr>
        <w:t xml:space="preserve">more than 26 million myGov accounts with more than 782,000 sign ins per day and 3.3 million app users. </w:t>
      </w:r>
    </w:p>
    <w:p w14:paraId="4D84F0D9" w14:textId="77777777" w:rsidR="006629E5" w:rsidRDefault="006629E5" w:rsidP="006629E5">
      <w:pPr>
        <w:pStyle w:val="BodyText"/>
      </w:pPr>
      <w:r>
        <w:lastRenderedPageBreak/>
        <w:t>It has become an indispensable national infrastructure delivering essential digital public services to support people through their lives, including during emergencies and disasters.</w:t>
      </w:r>
    </w:p>
    <w:p w14:paraId="0018877B" w14:textId="77777777" w:rsidR="006629E5" w:rsidRDefault="006629E5" w:rsidP="006629E5">
      <w:pPr>
        <w:pStyle w:val="BodyText"/>
      </w:pPr>
      <w:r>
        <w:t>Clearly, we need to implement the future of digital government service delivery through myGov.</w:t>
      </w:r>
    </w:p>
    <w:p w14:paraId="48123A92" w14:textId="77777777" w:rsidR="006629E5" w:rsidRDefault="006629E5" w:rsidP="006629E5">
      <w:pPr>
        <w:pStyle w:val="BodyText"/>
      </w:pPr>
      <w:r>
        <w:t xml:space="preserve">The 10 findings and recommendations of the report go to the heart of systemic issues holding us back. We agree we need to address these issues to unlock the value of government policies and simplify government services. </w:t>
      </w:r>
    </w:p>
    <w:p w14:paraId="7E5DD86A" w14:textId="77777777" w:rsidR="006629E5" w:rsidRDefault="006629E5" w:rsidP="006629E5">
      <w:pPr>
        <w:pStyle w:val="BodyText"/>
      </w:pPr>
      <w:r>
        <w:t>Like many other countries in the world, the Australian government aims to create a digital ecosystem where services are connected, secure and seamless.</w:t>
      </w:r>
    </w:p>
    <w:p w14:paraId="71445F21" w14:textId="77777777" w:rsidR="006629E5" w:rsidRDefault="006629E5" w:rsidP="006629E5">
      <w:pPr>
        <w:pStyle w:val="BodyText"/>
      </w:pPr>
      <w:r>
        <w:t>Our response to the report is part of setting a clear pathway to achieve that ecosystem in lockstep with the Data and Digital Government Strategy and Digital ID work.</w:t>
      </w:r>
    </w:p>
    <w:p w14:paraId="6702624E" w14:textId="77777777" w:rsidR="006629E5" w:rsidRDefault="006629E5" w:rsidP="006629E5">
      <w:pPr>
        <w:pStyle w:val="BodyText"/>
      </w:pPr>
      <w:r>
        <w:t xml:space="preserve">The establishment of a dedicated team to make early progress towards the strategy and implementation of myGov as a primary front door shows we understand the need for well thought-out implementation, and whole-of-government action to deliver on the government’s position. </w:t>
      </w:r>
    </w:p>
    <w:p w14:paraId="61824B23" w14:textId="77777777" w:rsidR="006629E5" w:rsidRDefault="006629E5" w:rsidP="006629E5">
      <w:pPr>
        <w:pStyle w:val="BodyText"/>
      </w:pPr>
      <w:r>
        <w:t>We are committed to establishing the foundations and to investing in and scaling myGov to deliver the world class digital services Australians expect.</w:t>
      </w:r>
    </w:p>
    <w:p w14:paraId="722023F3" w14:textId="77777777" w:rsidR="006629E5" w:rsidRDefault="006629E5" w:rsidP="006629E5">
      <w:pPr>
        <w:pStyle w:val="BodyText"/>
        <w:rPr>
          <w:rStyle w:val="Bold"/>
        </w:rPr>
      </w:pPr>
      <w:r>
        <w:rPr>
          <w:rStyle w:val="Bold"/>
        </w:rPr>
        <w:t xml:space="preserve">Minister Bill Shorten </w:t>
      </w:r>
    </w:p>
    <w:p w14:paraId="5E8960C5" w14:textId="549D077A" w:rsidR="006629E5" w:rsidRDefault="006629E5" w:rsidP="006629E5">
      <w:pPr>
        <w:pStyle w:val="BodyText"/>
      </w:pPr>
      <w:r>
        <w:t>Minister for the National Disability Insurance Scheme,</w:t>
      </w:r>
      <w:r w:rsidR="004037BC">
        <w:t xml:space="preserve"> </w:t>
      </w:r>
      <w:r>
        <w:t>Minister for Government Services</w:t>
      </w:r>
    </w:p>
    <w:p w14:paraId="4477FA29" w14:textId="2206B77D" w:rsidR="006629E5" w:rsidRDefault="006629E5" w:rsidP="006629E5">
      <w:pPr>
        <w:pStyle w:val="BodyText"/>
        <w:rPr>
          <w:rStyle w:val="Bold"/>
        </w:rPr>
      </w:pPr>
      <w:r>
        <w:rPr>
          <w:rStyle w:val="Bold"/>
        </w:rPr>
        <w:t xml:space="preserve">Senator the Hon Katy Gallagher </w:t>
      </w:r>
    </w:p>
    <w:p w14:paraId="433AFE59" w14:textId="707A4860" w:rsidR="006629E5" w:rsidRDefault="006629E5" w:rsidP="006629E5">
      <w:pPr>
        <w:pStyle w:val="BodyText"/>
      </w:pPr>
      <w:r>
        <w:t>Minister for Finance,</w:t>
      </w:r>
      <w:r w:rsidR="004037BC">
        <w:t xml:space="preserve"> </w:t>
      </w:r>
      <w:r>
        <w:t>Minister for Women, Minister for the Public Service</w:t>
      </w:r>
    </w:p>
    <w:p w14:paraId="295FA37D" w14:textId="69BAEDA0" w:rsidR="006629E5" w:rsidRDefault="006629E5" w:rsidP="006629E5">
      <w:pPr>
        <w:pStyle w:val="Heading2"/>
      </w:pPr>
      <w:r>
        <w:t>Summary of Responses</w:t>
      </w:r>
    </w:p>
    <w:tbl>
      <w:tblPr>
        <w:tblStyle w:val="TableGrid"/>
        <w:tblW w:w="0" w:type="auto"/>
        <w:tblLayout w:type="fixed"/>
        <w:tblLook w:val="0020" w:firstRow="1" w:lastRow="0" w:firstColumn="0" w:lastColumn="0" w:noHBand="0" w:noVBand="0"/>
        <w:tblCaption w:val="SmyGov Audit Response Overview"/>
      </w:tblPr>
      <w:tblGrid>
        <w:gridCol w:w="8075"/>
        <w:gridCol w:w="2693"/>
      </w:tblGrid>
      <w:tr w:rsidR="006629E5" w14:paraId="0C8BAC53" w14:textId="77777777" w:rsidTr="004037BC">
        <w:trPr>
          <w:trHeight w:val="340"/>
          <w:tblHeader/>
        </w:trPr>
        <w:tc>
          <w:tcPr>
            <w:tcW w:w="8075" w:type="dxa"/>
          </w:tcPr>
          <w:p w14:paraId="550FC1D5" w14:textId="77777777" w:rsidR="006629E5" w:rsidRPr="006629E5" w:rsidRDefault="006629E5" w:rsidP="004037BC">
            <w:pPr>
              <w:pStyle w:val="BodyText"/>
            </w:pPr>
            <w:r w:rsidRPr="006629E5">
              <w:rPr>
                <w:rStyle w:val="Bold"/>
              </w:rPr>
              <w:t>myGov Audit Response Overview</w:t>
            </w:r>
          </w:p>
        </w:tc>
        <w:tc>
          <w:tcPr>
            <w:tcW w:w="2693" w:type="dxa"/>
          </w:tcPr>
          <w:p w14:paraId="588BF6E6" w14:textId="77777777" w:rsidR="006629E5" w:rsidRPr="006629E5" w:rsidRDefault="006629E5" w:rsidP="004037BC">
            <w:pPr>
              <w:pStyle w:val="BodyText"/>
            </w:pPr>
            <w:r w:rsidRPr="006629E5">
              <w:rPr>
                <w:rStyle w:val="Bold"/>
              </w:rPr>
              <w:t>Position</w:t>
            </w:r>
          </w:p>
        </w:tc>
      </w:tr>
      <w:tr w:rsidR="006629E5" w14:paraId="7AF4B842" w14:textId="77777777" w:rsidTr="004037BC">
        <w:trPr>
          <w:trHeight w:val="623"/>
        </w:trPr>
        <w:tc>
          <w:tcPr>
            <w:tcW w:w="8075" w:type="dxa"/>
          </w:tcPr>
          <w:p w14:paraId="563A098F" w14:textId="77777777" w:rsidR="006629E5" w:rsidRDefault="006629E5" w:rsidP="006629E5">
            <w:pPr>
              <w:pStyle w:val="BodyText"/>
              <w:rPr>
                <w:rStyle w:val="Bold"/>
              </w:rPr>
            </w:pPr>
            <w:r w:rsidRPr="006629E5">
              <w:rPr>
                <w:rStyle w:val="Bold"/>
              </w:rPr>
              <w:t xml:space="preserve">Recommendation 1 </w:t>
            </w:r>
          </w:p>
          <w:p w14:paraId="655EACAA" w14:textId="3FD296E2" w:rsidR="004037BC" w:rsidRPr="006629E5" w:rsidRDefault="004037BC" w:rsidP="006629E5">
            <w:pPr>
              <w:pStyle w:val="BodyText"/>
              <w:rPr>
                <w:rStyle w:val="Bold"/>
              </w:rPr>
            </w:pPr>
            <w:r w:rsidRPr="006629E5">
              <w:rPr>
                <w:rStyle w:val="Bold"/>
              </w:rPr>
              <w:t>Confirm myGov as the ‘go to’ place for people to access services online from the Australian Government and communicate with all Australians.</w:t>
            </w:r>
          </w:p>
        </w:tc>
        <w:tc>
          <w:tcPr>
            <w:tcW w:w="2693" w:type="dxa"/>
          </w:tcPr>
          <w:p w14:paraId="7C12DEA7" w14:textId="77777777" w:rsidR="006629E5" w:rsidRPr="006629E5" w:rsidRDefault="006629E5" w:rsidP="006629E5">
            <w:pPr>
              <w:pStyle w:val="BodyText"/>
              <w:rPr>
                <w:rStyle w:val="Bold"/>
              </w:rPr>
            </w:pPr>
            <w:r w:rsidRPr="006629E5">
              <w:rPr>
                <w:rStyle w:val="Bold"/>
              </w:rPr>
              <w:t>Agreed</w:t>
            </w:r>
          </w:p>
        </w:tc>
      </w:tr>
      <w:tr w:rsidR="006629E5" w14:paraId="61614BC6" w14:textId="77777777" w:rsidTr="006E5778">
        <w:trPr>
          <w:trHeight w:val="60"/>
        </w:trPr>
        <w:tc>
          <w:tcPr>
            <w:tcW w:w="10768" w:type="dxa"/>
            <w:gridSpan w:val="2"/>
          </w:tcPr>
          <w:p w14:paraId="3768BC8A" w14:textId="77777777" w:rsidR="006629E5" w:rsidRDefault="006629E5" w:rsidP="006629E5">
            <w:pPr>
              <w:pStyle w:val="BodyText"/>
            </w:pPr>
            <w:r>
              <w:t>To support citizens to navigate government services and to drive efficient and effective digital investment, Government agrees to a unified and pragmatic whole-of-government approach to myGov as a primary front door. Government will define a decision-making framework in consultation with whole-of-government input to provide clear guidelines for agencies to determine where their service fits into the broader delivery of government services to curb the proliferation of new front doors, consolidate the existing digital ecosystem, and identify opportunities to reuse systems and reduce duplicative investment.</w:t>
            </w:r>
          </w:p>
          <w:p w14:paraId="4815C3F0" w14:textId="3CECF2C0" w:rsidR="006629E5" w:rsidRDefault="006629E5" w:rsidP="006629E5">
            <w:pPr>
              <w:pStyle w:val="BodyText"/>
            </w:pPr>
            <w:r>
              <w:t>Government notes that seamless and connected services are constrained by government organising structures which makes achieving the full extent of this recommendation difficult and costly.</w:t>
            </w:r>
          </w:p>
          <w:p w14:paraId="060AA4CF" w14:textId="77777777" w:rsidR="006629E5" w:rsidRDefault="006629E5" w:rsidP="006629E5">
            <w:pPr>
              <w:pStyle w:val="BodyText"/>
            </w:pPr>
            <w:r>
              <w:t xml:space="preserve">Removing barriers to implementation will be further explored by Government in progressing work under recommendations 3 and 7. Government has commenced work towards this </w:t>
            </w:r>
            <w:r>
              <w:lastRenderedPageBreak/>
              <w:t>recommendation, however there is a need to increase whole-of-government oversight of investments in the digital service delivery ecosystem.</w:t>
            </w:r>
          </w:p>
        </w:tc>
      </w:tr>
      <w:tr w:rsidR="006629E5" w14:paraId="2CD4637E" w14:textId="77777777" w:rsidTr="004037BC">
        <w:trPr>
          <w:trHeight w:val="623"/>
        </w:trPr>
        <w:tc>
          <w:tcPr>
            <w:tcW w:w="8075" w:type="dxa"/>
          </w:tcPr>
          <w:p w14:paraId="6CBD25D9" w14:textId="77777777" w:rsidR="006629E5" w:rsidRDefault="006629E5" w:rsidP="006629E5">
            <w:pPr>
              <w:pStyle w:val="BodyText"/>
              <w:rPr>
                <w:rStyle w:val="Bold"/>
                <w:rFonts w:cs="Times New Roman"/>
              </w:rPr>
            </w:pPr>
            <w:r w:rsidRPr="006629E5">
              <w:rPr>
                <w:rStyle w:val="Bold"/>
                <w:rFonts w:cs="Times New Roman"/>
              </w:rPr>
              <w:lastRenderedPageBreak/>
              <w:t>Recommendation 2</w:t>
            </w:r>
          </w:p>
          <w:p w14:paraId="1B364A62" w14:textId="2F61E6FA" w:rsidR="006629E5" w:rsidRPr="006629E5" w:rsidRDefault="006629E5" w:rsidP="006629E5">
            <w:pPr>
              <w:pStyle w:val="BodyText"/>
            </w:pPr>
            <w:r w:rsidRPr="006629E5">
              <w:rPr>
                <w:rStyle w:val="Bold"/>
                <w:rFonts w:cs="Times New Roman"/>
              </w:rPr>
              <w:t>Ensure myGov leaves no one behind and upholds Australians’ human rights.</w:t>
            </w:r>
          </w:p>
        </w:tc>
        <w:tc>
          <w:tcPr>
            <w:tcW w:w="2693" w:type="dxa"/>
          </w:tcPr>
          <w:p w14:paraId="0CD0442E" w14:textId="77777777" w:rsidR="006629E5" w:rsidRPr="006629E5" w:rsidRDefault="006629E5" w:rsidP="006629E5">
            <w:pPr>
              <w:pStyle w:val="BodyText"/>
            </w:pPr>
            <w:r w:rsidRPr="006629E5">
              <w:rPr>
                <w:rStyle w:val="Bold"/>
                <w:rFonts w:cs="Times New Roman"/>
              </w:rPr>
              <w:t>Agreed</w:t>
            </w:r>
          </w:p>
        </w:tc>
      </w:tr>
      <w:tr w:rsidR="006629E5" w14:paraId="659AE8F8" w14:textId="77777777" w:rsidTr="006E5778">
        <w:trPr>
          <w:trHeight w:val="60"/>
        </w:trPr>
        <w:tc>
          <w:tcPr>
            <w:tcW w:w="10768" w:type="dxa"/>
            <w:gridSpan w:val="2"/>
          </w:tcPr>
          <w:p w14:paraId="1F1DA79A" w14:textId="77777777" w:rsidR="006629E5" w:rsidRPr="006629E5" w:rsidRDefault="006629E5" w:rsidP="006629E5">
            <w:pPr>
              <w:pStyle w:val="BodyText"/>
            </w:pPr>
            <w:r w:rsidRPr="006629E5">
              <w:t>Government will develop a Digital Inclusion Standard that ensures services are designed and delivered to leave no one behind. This new standard will set levels of acceptable delivery of digital services to Indigenous communities, designing and building services that are inclusive and accessible, and uphold human rights. Government agrees to ensure myGov is designed and delivered according to this standard.</w:t>
            </w:r>
          </w:p>
          <w:p w14:paraId="4FB375A4" w14:textId="77777777" w:rsidR="006629E5" w:rsidRPr="006629E5" w:rsidRDefault="006629E5" w:rsidP="006629E5">
            <w:pPr>
              <w:pStyle w:val="BodyText"/>
            </w:pPr>
            <w:r w:rsidRPr="006629E5">
              <w:t xml:space="preserve">Government has agreed through the Data and Digital Ministers Meeting to progress initiatives related to digital literacy, inclusion and connectivity across all tiers of government. </w:t>
            </w:r>
          </w:p>
          <w:p w14:paraId="32B50559" w14:textId="77777777" w:rsidR="006629E5" w:rsidRPr="006629E5" w:rsidRDefault="006629E5" w:rsidP="006629E5">
            <w:pPr>
              <w:pStyle w:val="BodyText"/>
            </w:pPr>
            <w:r w:rsidRPr="006629E5">
              <w:t>Government notes Services Australia has broad reaching infrastructure and capabilities including service centres, remote and regional support and telephony services that could be leveraged to support a collective approach in delivering to citizens.</w:t>
            </w:r>
          </w:p>
        </w:tc>
      </w:tr>
      <w:tr w:rsidR="006629E5" w14:paraId="49196FF8" w14:textId="77777777" w:rsidTr="004037BC">
        <w:trPr>
          <w:trHeight w:val="623"/>
        </w:trPr>
        <w:tc>
          <w:tcPr>
            <w:tcW w:w="8075" w:type="dxa"/>
          </w:tcPr>
          <w:p w14:paraId="366EA53C" w14:textId="77777777" w:rsidR="006629E5" w:rsidRDefault="006629E5" w:rsidP="006629E5">
            <w:pPr>
              <w:pStyle w:val="BodyText"/>
              <w:rPr>
                <w:rStyle w:val="Bold"/>
                <w:rFonts w:cs="Times New Roman"/>
              </w:rPr>
            </w:pPr>
            <w:r w:rsidRPr="006629E5">
              <w:rPr>
                <w:rStyle w:val="Bold"/>
                <w:rFonts w:cs="Times New Roman"/>
              </w:rPr>
              <w:t>Recommendation 3</w:t>
            </w:r>
          </w:p>
          <w:p w14:paraId="02E8506F" w14:textId="4DC5B4C8" w:rsidR="006629E5" w:rsidRPr="006629E5" w:rsidRDefault="006629E5" w:rsidP="006629E5">
            <w:pPr>
              <w:pStyle w:val="BodyText"/>
            </w:pPr>
            <w:r w:rsidRPr="006629E5">
              <w:rPr>
                <w:rStyle w:val="Bold"/>
                <w:rFonts w:cs="Times New Roman"/>
              </w:rPr>
              <w:t>Legislate myGov as national service delivery infrastructure.</w:t>
            </w:r>
          </w:p>
        </w:tc>
        <w:tc>
          <w:tcPr>
            <w:tcW w:w="2693" w:type="dxa"/>
          </w:tcPr>
          <w:p w14:paraId="256259BD" w14:textId="77777777" w:rsidR="006629E5" w:rsidRPr="006629E5" w:rsidRDefault="006629E5" w:rsidP="006629E5">
            <w:pPr>
              <w:pStyle w:val="BodyText"/>
            </w:pPr>
            <w:r w:rsidRPr="006629E5">
              <w:rPr>
                <w:rStyle w:val="Bold"/>
                <w:rFonts w:cs="Times New Roman"/>
              </w:rPr>
              <w:t>Noted</w:t>
            </w:r>
          </w:p>
        </w:tc>
      </w:tr>
      <w:tr w:rsidR="006629E5" w14:paraId="6C08CA75" w14:textId="77777777" w:rsidTr="006E5778">
        <w:trPr>
          <w:trHeight w:val="60"/>
        </w:trPr>
        <w:tc>
          <w:tcPr>
            <w:tcW w:w="10768" w:type="dxa"/>
            <w:gridSpan w:val="2"/>
          </w:tcPr>
          <w:p w14:paraId="66C699D7" w14:textId="77777777" w:rsidR="006629E5" w:rsidRDefault="006629E5" w:rsidP="006629E5">
            <w:pPr>
              <w:pStyle w:val="BodyText"/>
            </w:pPr>
            <w:r>
              <w:t xml:space="preserve">Government recognises the potential for legislating myGov as national infrastructure. The current legislative environment for myGov impedes service delivery, particularly around data and personal information that may hinder the </w:t>
            </w:r>
            <w:r>
              <w:rPr>
                <w:spacing w:val="-2"/>
              </w:rPr>
              <w:t xml:space="preserve">realisation of the aspirations outlined in the Audit. Government will invest in further </w:t>
            </w:r>
            <w:r>
              <w:t>discovery work to inform decisions and actions toward this recommendation.</w:t>
            </w:r>
          </w:p>
        </w:tc>
      </w:tr>
      <w:tr w:rsidR="006629E5" w14:paraId="3BE83763" w14:textId="77777777" w:rsidTr="004037BC">
        <w:trPr>
          <w:trHeight w:val="623"/>
        </w:trPr>
        <w:tc>
          <w:tcPr>
            <w:tcW w:w="8075" w:type="dxa"/>
          </w:tcPr>
          <w:p w14:paraId="089DF6D1" w14:textId="77777777" w:rsidR="006629E5" w:rsidRDefault="006629E5" w:rsidP="006629E5">
            <w:pPr>
              <w:pStyle w:val="BodyText"/>
              <w:rPr>
                <w:rStyle w:val="Bold"/>
                <w:rFonts w:cs="Times New Roman"/>
              </w:rPr>
            </w:pPr>
            <w:r w:rsidRPr="006629E5">
              <w:rPr>
                <w:rStyle w:val="Bold"/>
                <w:rFonts w:cs="Times New Roman"/>
              </w:rPr>
              <w:t>Recommendation 4</w:t>
            </w:r>
          </w:p>
          <w:p w14:paraId="1B9EBD2D" w14:textId="7A4C8570" w:rsidR="006629E5" w:rsidRPr="006629E5" w:rsidRDefault="006629E5" w:rsidP="006629E5">
            <w:pPr>
              <w:pStyle w:val="BodyText"/>
            </w:pPr>
            <w:r w:rsidRPr="006629E5">
              <w:rPr>
                <w:rStyle w:val="Bold"/>
                <w:rFonts w:cs="Times New Roman"/>
              </w:rPr>
              <w:t>Provide ongoing annual funding of myGov at the same level as sustainment funding in 2021–22 and the Enhanced myGov Program and establish a ‘myGov development fund’ to resource onboarding of new services and improvement of existing linked services</w:t>
            </w:r>
          </w:p>
        </w:tc>
        <w:tc>
          <w:tcPr>
            <w:tcW w:w="2693" w:type="dxa"/>
          </w:tcPr>
          <w:p w14:paraId="33CC33B3" w14:textId="77777777" w:rsidR="006629E5" w:rsidRPr="006629E5" w:rsidRDefault="006629E5" w:rsidP="006629E5">
            <w:pPr>
              <w:pStyle w:val="BodyText"/>
            </w:pPr>
            <w:r w:rsidRPr="006629E5">
              <w:rPr>
                <w:rStyle w:val="Bold"/>
                <w:rFonts w:cs="Times New Roman"/>
              </w:rPr>
              <w:t>Agreed in-principle</w:t>
            </w:r>
          </w:p>
        </w:tc>
      </w:tr>
      <w:tr w:rsidR="006629E5" w14:paraId="680C8348" w14:textId="77777777" w:rsidTr="006E5778">
        <w:trPr>
          <w:trHeight w:val="60"/>
        </w:trPr>
        <w:tc>
          <w:tcPr>
            <w:tcW w:w="10768" w:type="dxa"/>
            <w:gridSpan w:val="2"/>
          </w:tcPr>
          <w:p w14:paraId="2D386878" w14:textId="77777777" w:rsidR="006629E5" w:rsidRPr="006629E5" w:rsidRDefault="006629E5" w:rsidP="006629E5">
            <w:pPr>
              <w:pStyle w:val="BodyText"/>
            </w:pPr>
            <w:r w:rsidRPr="006629E5">
              <w:t xml:space="preserve">Government agrees in-principle to fund myGov as national infrastructure with appropriate allocations to preserve and operate the service, ensuring it remains secure and contemporary. Noting $134.5 million was committed in 2023–24 Budget to operate and maintain myGov for one year. Further analysis will be completed and brought back in the 2024–25 Budget context for ongoing operate and maintenance needs. </w:t>
            </w:r>
          </w:p>
        </w:tc>
      </w:tr>
      <w:tr w:rsidR="006629E5" w14:paraId="0859A22F" w14:textId="77777777" w:rsidTr="004037BC">
        <w:trPr>
          <w:trHeight w:val="623"/>
        </w:trPr>
        <w:tc>
          <w:tcPr>
            <w:tcW w:w="8075" w:type="dxa"/>
          </w:tcPr>
          <w:p w14:paraId="298BC7F8" w14:textId="77777777" w:rsidR="006629E5" w:rsidRPr="006629E5" w:rsidRDefault="006629E5" w:rsidP="006629E5">
            <w:pPr>
              <w:pStyle w:val="BodyText"/>
              <w:rPr>
                <w:rStyle w:val="Bold"/>
                <w:rFonts w:cs="Times New Roman"/>
              </w:rPr>
            </w:pPr>
            <w:r w:rsidRPr="006629E5">
              <w:rPr>
                <w:rStyle w:val="Bold"/>
                <w:rFonts w:cs="Times New Roman"/>
              </w:rPr>
              <w:t>Recommendation 5</w:t>
            </w:r>
          </w:p>
          <w:p w14:paraId="6A12E38A" w14:textId="728332C2" w:rsidR="006629E5" w:rsidRPr="006629E5" w:rsidRDefault="006629E5" w:rsidP="006629E5">
            <w:pPr>
              <w:pStyle w:val="BodyText"/>
            </w:pPr>
            <w:r w:rsidRPr="006629E5">
              <w:rPr>
                <w:rStyle w:val="Bold"/>
                <w:rFonts w:cs="Times New Roman"/>
              </w:rPr>
              <w:t>Publish during 2023 a rolling 5 year roadmap for developing myGov, updated annually.</w:t>
            </w:r>
          </w:p>
        </w:tc>
        <w:tc>
          <w:tcPr>
            <w:tcW w:w="2693" w:type="dxa"/>
          </w:tcPr>
          <w:p w14:paraId="71B0026A" w14:textId="77777777" w:rsidR="006629E5" w:rsidRPr="006629E5" w:rsidRDefault="006629E5" w:rsidP="006629E5">
            <w:pPr>
              <w:pStyle w:val="BodyText"/>
            </w:pPr>
            <w:r w:rsidRPr="006629E5">
              <w:rPr>
                <w:rStyle w:val="Bold"/>
                <w:rFonts w:cs="Times New Roman"/>
              </w:rPr>
              <w:t>Agreed in-principle</w:t>
            </w:r>
          </w:p>
        </w:tc>
      </w:tr>
      <w:tr w:rsidR="006629E5" w14:paraId="652DA309" w14:textId="77777777" w:rsidTr="006E5778">
        <w:trPr>
          <w:trHeight w:val="60"/>
        </w:trPr>
        <w:tc>
          <w:tcPr>
            <w:tcW w:w="10768" w:type="dxa"/>
            <w:gridSpan w:val="2"/>
          </w:tcPr>
          <w:p w14:paraId="25205A1C" w14:textId="77777777" w:rsidR="006629E5" w:rsidRPr="006629E5" w:rsidRDefault="006629E5" w:rsidP="006629E5">
            <w:pPr>
              <w:pStyle w:val="BodyText"/>
            </w:pPr>
            <w:r w:rsidRPr="006629E5">
              <w:t xml:space="preserve">Government agrees in-principle to develop a rolling roadmap that sets out new services and functionality through myGov that will be integrated and published for citizens, including, as part of </w:t>
            </w:r>
            <w:r w:rsidRPr="006629E5">
              <w:lastRenderedPageBreak/>
              <w:t>the implementation plan for the Data and Digital Government Strategy. Major improvements and enhancements will be prioritised and overseen by the governance outlined in recommendation 7.</w:t>
            </w:r>
          </w:p>
        </w:tc>
      </w:tr>
      <w:tr w:rsidR="006629E5" w14:paraId="29AC80AA" w14:textId="77777777" w:rsidTr="004037BC">
        <w:trPr>
          <w:trHeight w:val="623"/>
        </w:trPr>
        <w:tc>
          <w:tcPr>
            <w:tcW w:w="8075" w:type="dxa"/>
          </w:tcPr>
          <w:p w14:paraId="47C094EE" w14:textId="77777777" w:rsidR="006629E5" w:rsidRPr="006629E5" w:rsidRDefault="006629E5" w:rsidP="006629E5">
            <w:pPr>
              <w:pStyle w:val="BodyText"/>
              <w:rPr>
                <w:rStyle w:val="Bold"/>
                <w:rFonts w:cs="Times New Roman"/>
              </w:rPr>
            </w:pPr>
            <w:r w:rsidRPr="006629E5">
              <w:rPr>
                <w:rStyle w:val="Bold"/>
                <w:rFonts w:cs="Times New Roman"/>
              </w:rPr>
              <w:lastRenderedPageBreak/>
              <w:t>Recommendation 6</w:t>
            </w:r>
          </w:p>
          <w:p w14:paraId="22D47952" w14:textId="421E393D" w:rsidR="006629E5" w:rsidRPr="006629E5" w:rsidRDefault="006629E5" w:rsidP="006629E5">
            <w:pPr>
              <w:pStyle w:val="BodyText"/>
            </w:pPr>
            <w:r w:rsidRPr="006629E5">
              <w:rPr>
                <w:rStyle w:val="Bold"/>
                <w:rFonts w:cs="Times New Roman"/>
              </w:rPr>
              <w:t>Accelerate development of Australia’s national digital identity ecosystem, prioritising the protection of security, privacy, safety, and other human rights with a view to government digital identity being safe, easy to use and secure.</w:t>
            </w:r>
          </w:p>
        </w:tc>
        <w:tc>
          <w:tcPr>
            <w:tcW w:w="2693" w:type="dxa"/>
          </w:tcPr>
          <w:p w14:paraId="4C3F0B97" w14:textId="77777777" w:rsidR="006629E5" w:rsidRPr="006629E5" w:rsidRDefault="006629E5" w:rsidP="006629E5">
            <w:pPr>
              <w:pStyle w:val="BodyText"/>
            </w:pPr>
            <w:r w:rsidRPr="006629E5">
              <w:rPr>
                <w:rStyle w:val="Bold"/>
                <w:rFonts w:cs="Times New Roman"/>
              </w:rPr>
              <w:t>Agreed</w:t>
            </w:r>
          </w:p>
        </w:tc>
      </w:tr>
      <w:tr w:rsidR="006629E5" w14:paraId="32C88456" w14:textId="77777777" w:rsidTr="006E5778">
        <w:trPr>
          <w:trHeight w:val="60"/>
        </w:trPr>
        <w:tc>
          <w:tcPr>
            <w:tcW w:w="10768" w:type="dxa"/>
            <w:gridSpan w:val="2"/>
          </w:tcPr>
          <w:p w14:paraId="3E0DCEEF" w14:textId="77777777" w:rsidR="006629E5" w:rsidRPr="006629E5" w:rsidRDefault="006629E5" w:rsidP="006629E5">
            <w:pPr>
              <w:pStyle w:val="BodyText"/>
            </w:pPr>
            <w:r w:rsidRPr="006629E5">
              <w:t>Digital ID is a voluntary, secure and trusted way for Australians to use the government services they rely on. The expanded use of Digital IDs will ensure that in the future, government services are easier for citizens to access. Government supports accelerated development of Australia's national digital identity ecosystem and the introduction of legislation to support its broader rollout. Implementation of this recommendation will be guided by the outcomes of the Department of Finance led Digital Identity Taskforce. The Government has invested to sustain and develop the next stage of the Digital ID Program, as it transitions to an economy-wide Digital ID ecosystem with an independent regulator.</w:t>
            </w:r>
          </w:p>
        </w:tc>
      </w:tr>
      <w:tr w:rsidR="006629E5" w14:paraId="693C806A" w14:textId="77777777" w:rsidTr="004037BC">
        <w:trPr>
          <w:trHeight w:val="623"/>
        </w:trPr>
        <w:tc>
          <w:tcPr>
            <w:tcW w:w="8075" w:type="dxa"/>
          </w:tcPr>
          <w:p w14:paraId="2DB0938E" w14:textId="77777777" w:rsidR="006629E5" w:rsidRPr="006629E5" w:rsidRDefault="006629E5" w:rsidP="006629E5">
            <w:pPr>
              <w:pStyle w:val="BodyText"/>
              <w:rPr>
                <w:rStyle w:val="Bold"/>
                <w:rFonts w:cs="Times New Roman"/>
              </w:rPr>
            </w:pPr>
            <w:r w:rsidRPr="006629E5">
              <w:rPr>
                <w:rStyle w:val="Bold"/>
                <w:rFonts w:cs="Times New Roman"/>
              </w:rPr>
              <w:t>Recommendation 7</w:t>
            </w:r>
          </w:p>
          <w:p w14:paraId="60D2F891" w14:textId="6A198786" w:rsidR="006629E5" w:rsidRPr="006629E5" w:rsidRDefault="006629E5" w:rsidP="006629E5">
            <w:pPr>
              <w:pStyle w:val="BodyText"/>
            </w:pPr>
            <w:r w:rsidRPr="006629E5">
              <w:rPr>
                <w:rStyle w:val="Bold"/>
                <w:rFonts w:cs="Times New Roman"/>
              </w:rPr>
              <w:t>Introduce by mid-2023 citizen-centred governance and operational arrangements for myGov and myGovID to overcome government siloes and drive inclusion and performance.</w:t>
            </w:r>
          </w:p>
        </w:tc>
        <w:tc>
          <w:tcPr>
            <w:tcW w:w="2693" w:type="dxa"/>
          </w:tcPr>
          <w:p w14:paraId="1896B8CE" w14:textId="77777777" w:rsidR="006629E5" w:rsidRPr="006629E5" w:rsidRDefault="006629E5" w:rsidP="006629E5">
            <w:pPr>
              <w:pStyle w:val="BodyText"/>
            </w:pPr>
            <w:r w:rsidRPr="006629E5">
              <w:rPr>
                <w:rStyle w:val="Bold"/>
                <w:rFonts w:cs="Times New Roman"/>
              </w:rPr>
              <w:t>Agreed in-principle</w:t>
            </w:r>
          </w:p>
        </w:tc>
      </w:tr>
      <w:tr w:rsidR="006629E5" w14:paraId="28943A78" w14:textId="77777777" w:rsidTr="006E5778">
        <w:trPr>
          <w:trHeight w:val="60"/>
        </w:trPr>
        <w:tc>
          <w:tcPr>
            <w:tcW w:w="10768" w:type="dxa"/>
            <w:gridSpan w:val="2"/>
          </w:tcPr>
          <w:p w14:paraId="444A3AFB" w14:textId="77777777" w:rsidR="006629E5" w:rsidRPr="006629E5" w:rsidRDefault="006629E5" w:rsidP="006629E5">
            <w:pPr>
              <w:pStyle w:val="BodyText"/>
            </w:pPr>
            <w:r w:rsidRPr="006629E5">
              <w:t>Government will develop revised governance arrangements to support the future of myGov. The first step will be the establishment of an independently chaired advisory board that will provide expert advice to the Minister of Government Services to shape the future of government services.</w:t>
            </w:r>
          </w:p>
          <w:p w14:paraId="6EC577DD" w14:textId="77777777" w:rsidR="006629E5" w:rsidRPr="006629E5" w:rsidRDefault="006629E5" w:rsidP="006629E5">
            <w:pPr>
              <w:pStyle w:val="BodyText"/>
            </w:pPr>
            <w:r w:rsidRPr="006629E5">
              <w:t>Governance of myGov and myGovID will remain separate, with myGovID remaining part of the Digital ID Program, to consider whole of economy impacts, whilst myGov focuses on Government service delivery.</w:t>
            </w:r>
          </w:p>
        </w:tc>
      </w:tr>
      <w:tr w:rsidR="006629E5" w14:paraId="01CDD86B" w14:textId="77777777" w:rsidTr="004037BC">
        <w:trPr>
          <w:trHeight w:val="623"/>
        </w:trPr>
        <w:tc>
          <w:tcPr>
            <w:tcW w:w="8075" w:type="dxa"/>
          </w:tcPr>
          <w:p w14:paraId="40D4E788" w14:textId="77777777" w:rsidR="006629E5" w:rsidRPr="006629E5" w:rsidRDefault="006629E5" w:rsidP="006629E5">
            <w:pPr>
              <w:pStyle w:val="BodyText"/>
              <w:rPr>
                <w:rStyle w:val="Bold"/>
                <w:rFonts w:cs="Times New Roman"/>
              </w:rPr>
            </w:pPr>
            <w:r w:rsidRPr="006629E5">
              <w:rPr>
                <w:rStyle w:val="Bold"/>
                <w:rFonts w:cs="Times New Roman"/>
              </w:rPr>
              <w:t>Recommendation 8</w:t>
            </w:r>
          </w:p>
          <w:p w14:paraId="62C2AE2F" w14:textId="42C31071" w:rsidR="006629E5" w:rsidRPr="006629E5" w:rsidRDefault="006629E5" w:rsidP="006629E5">
            <w:pPr>
              <w:pStyle w:val="BodyText"/>
            </w:pPr>
            <w:r w:rsidRPr="006629E5">
              <w:rPr>
                <w:rStyle w:val="Bold"/>
                <w:rFonts w:cs="Times New Roman"/>
              </w:rPr>
              <w:t>Partner with the states and territories on a 5 year plan to make it easy for people to find and do what they need to across all levels of government.</w:t>
            </w:r>
          </w:p>
        </w:tc>
        <w:tc>
          <w:tcPr>
            <w:tcW w:w="2693" w:type="dxa"/>
          </w:tcPr>
          <w:p w14:paraId="61A13DD4" w14:textId="77777777" w:rsidR="006629E5" w:rsidRPr="006629E5" w:rsidRDefault="006629E5" w:rsidP="006629E5">
            <w:pPr>
              <w:pStyle w:val="BodyText"/>
            </w:pPr>
            <w:r w:rsidRPr="006629E5">
              <w:rPr>
                <w:rStyle w:val="Bold"/>
                <w:rFonts w:cs="Times New Roman"/>
              </w:rPr>
              <w:t>Agreed</w:t>
            </w:r>
          </w:p>
        </w:tc>
      </w:tr>
      <w:tr w:rsidR="006629E5" w14:paraId="11E9FA57" w14:textId="77777777" w:rsidTr="006E5778">
        <w:trPr>
          <w:trHeight w:val="60"/>
        </w:trPr>
        <w:tc>
          <w:tcPr>
            <w:tcW w:w="10768" w:type="dxa"/>
            <w:gridSpan w:val="2"/>
          </w:tcPr>
          <w:p w14:paraId="79B78EB0" w14:textId="77777777" w:rsidR="006629E5" w:rsidRPr="006629E5" w:rsidRDefault="006629E5" w:rsidP="006629E5">
            <w:pPr>
              <w:pStyle w:val="BodyText"/>
            </w:pPr>
            <w:r w:rsidRPr="006629E5">
              <w:t>Government will continue to work with jurisdictions to deliver connected services for citizens. Government will establish a Commonwealth and state and territory working group, through the Data and Digital Ministers Meeting, to develop a plan. The plan would expand beyond the Audit’s recommendation by covering digital service integration across all sectors, leveraging work on life events, digital identity and verifiable credentials, and a plan to develop interoperability standards. The plan will intersect with the roadmap for myGov as outlined in recommendation 5.</w:t>
            </w:r>
          </w:p>
        </w:tc>
      </w:tr>
      <w:tr w:rsidR="006629E5" w14:paraId="2EAF1F8D" w14:textId="77777777" w:rsidTr="004037BC">
        <w:trPr>
          <w:trHeight w:val="623"/>
        </w:trPr>
        <w:tc>
          <w:tcPr>
            <w:tcW w:w="8075" w:type="dxa"/>
          </w:tcPr>
          <w:p w14:paraId="4B015995" w14:textId="77777777" w:rsidR="006629E5" w:rsidRPr="006629E5" w:rsidRDefault="006629E5" w:rsidP="006629E5">
            <w:pPr>
              <w:pStyle w:val="BodyText"/>
              <w:rPr>
                <w:rStyle w:val="Bold"/>
                <w:rFonts w:cs="Times New Roman"/>
              </w:rPr>
            </w:pPr>
            <w:r w:rsidRPr="006629E5">
              <w:rPr>
                <w:rStyle w:val="Bold"/>
                <w:rFonts w:cs="Times New Roman"/>
              </w:rPr>
              <w:t>Recommendation 9</w:t>
            </w:r>
          </w:p>
          <w:p w14:paraId="58358D95" w14:textId="0DD67A21" w:rsidR="006629E5" w:rsidRPr="006629E5" w:rsidRDefault="006629E5" w:rsidP="006629E5">
            <w:pPr>
              <w:pStyle w:val="BodyText"/>
            </w:pPr>
            <w:r w:rsidRPr="006629E5">
              <w:rPr>
                <w:rStyle w:val="Bold"/>
                <w:rFonts w:cs="Times New Roman"/>
              </w:rPr>
              <w:lastRenderedPageBreak/>
              <w:t>Design and build myGov in alignment with a refreshed and enforced Australian Government Architecture, incorporating the Design System and the Service Standard.</w:t>
            </w:r>
          </w:p>
        </w:tc>
        <w:tc>
          <w:tcPr>
            <w:tcW w:w="2693" w:type="dxa"/>
          </w:tcPr>
          <w:p w14:paraId="19856CE4" w14:textId="77777777" w:rsidR="006629E5" w:rsidRPr="004037BC" w:rsidRDefault="006629E5" w:rsidP="006629E5">
            <w:pPr>
              <w:pStyle w:val="BodyText"/>
            </w:pPr>
            <w:r w:rsidRPr="004037BC">
              <w:rPr>
                <w:rStyle w:val="Bold"/>
                <w:rFonts w:cs="Times New Roman"/>
              </w:rPr>
              <w:lastRenderedPageBreak/>
              <w:t>Agreed in-principle</w:t>
            </w:r>
          </w:p>
        </w:tc>
      </w:tr>
      <w:tr w:rsidR="006629E5" w14:paraId="27C2E2AB" w14:textId="77777777" w:rsidTr="006E5778">
        <w:trPr>
          <w:trHeight w:val="60"/>
        </w:trPr>
        <w:tc>
          <w:tcPr>
            <w:tcW w:w="10768" w:type="dxa"/>
            <w:gridSpan w:val="2"/>
          </w:tcPr>
          <w:p w14:paraId="494D9D51" w14:textId="77777777" w:rsidR="006629E5" w:rsidRPr="006629E5" w:rsidRDefault="006629E5" w:rsidP="006629E5">
            <w:pPr>
              <w:pStyle w:val="BodyText"/>
            </w:pPr>
            <w:r w:rsidRPr="006629E5">
              <w:t xml:space="preserve">The Digital Transformation Agency has launched a refreshed platform to better navigate and apply the Australian Government Architecture to digital investments. </w:t>
            </w:r>
          </w:p>
          <w:p w14:paraId="41990E35" w14:textId="77777777" w:rsidR="006629E5" w:rsidRPr="006629E5" w:rsidRDefault="006629E5" w:rsidP="006629E5">
            <w:pPr>
              <w:pStyle w:val="BodyText"/>
            </w:pPr>
            <w:r w:rsidRPr="006629E5">
              <w:t>Government, through the Digital Transformation Agency, has developed a new Digital Service Standard to standardise the way digital services are designed, delivered and maintained, and better support agencies through enhanced guidance materials that accounts for varying levels of digital maturity. Adherence to these standards and policies will be monitored and governed under recommendation 7. The Standard is supported by a whole-of-government digital service performance framework, providing measurements to assess and improve the quality of Australian Government digital services, in line with its digital government vision and as part of the Data and Digital Government Strategy’s measurement framework.</w:t>
            </w:r>
          </w:p>
        </w:tc>
      </w:tr>
      <w:tr w:rsidR="006629E5" w14:paraId="1582E751" w14:textId="77777777" w:rsidTr="004037BC">
        <w:trPr>
          <w:trHeight w:val="623"/>
        </w:trPr>
        <w:tc>
          <w:tcPr>
            <w:tcW w:w="8075" w:type="dxa"/>
          </w:tcPr>
          <w:p w14:paraId="5C3B5C35" w14:textId="77777777" w:rsidR="006629E5" w:rsidRPr="006629E5" w:rsidRDefault="006629E5" w:rsidP="006629E5">
            <w:pPr>
              <w:pStyle w:val="BodyText"/>
              <w:rPr>
                <w:rStyle w:val="Bold"/>
                <w:rFonts w:cs="Times New Roman"/>
              </w:rPr>
            </w:pPr>
            <w:r w:rsidRPr="006629E5">
              <w:rPr>
                <w:rStyle w:val="Bold"/>
                <w:rFonts w:cs="Times New Roman"/>
              </w:rPr>
              <w:t>Recommendation 10</w:t>
            </w:r>
          </w:p>
          <w:p w14:paraId="793625C7" w14:textId="6C4D37FD" w:rsidR="006629E5" w:rsidRPr="006629E5" w:rsidRDefault="006629E5" w:rsidP="006629E5">
            <w:pPr>
              <w:pStyle w:val="BodyText"/>
            </w:pPr>
            <w:r w:rsidRPr="006629E5">
              <w:rPr>
                <w:rStyle w:val="Bold"/>
                <w:rFonts w:cs="Times New Roman"/>
              </w:rPr>
              <w:t>Services Australia develop and adopt a new world-class approach to service and support to government agencies utilising myGov.</w:t>
            </w:r>
          </w:p>
        </w:tc>
        <w:tc>
          <w:tcPr>
            <w:tcW w:w="2693" w:type="dxa"/>
          </w:tcPr>
          <w:p w14:paraId="2D54490B" w14:textId="77777777" w:rsidR="006629E5" w:rsidRPr="006629E5" w:rsidRDefault="006629E5" w:rsidP="006629E5">
            <w:pPr>
              <w:pStyle w:val="BodyText"/>
            </w:pPr>
            <w:r w:rsidRPr="006629E5">
              <w:rPr>
                <w:rStyle w:val="Bold"/>
                <w:rFonts w:cs="Times New Roman"/>
              </w:rPr>
              <w:t>Agreed in-principle</w:t>
            </w:r>
          </w:p>
        </w:tc>
      </w:tr>
      <w:tr w:rsidR="006629E5" w14:paraId="31459DFC" w14:textId="77777777" w:rsidTr="006E5778">
        <w:trPr>
          <w:trHeight w:val="60"/>
        </w:trPr>
        <w:tc>
          <w:tcPr>
            <w:tcW w:w="10768" w:type="dxa"/>
            <w:gridSpan w:val="2"/>
          </w:tcPr>
          <w:p w14:paraId="0E7213E5" w14:textId="77777777" w:rsidR="006629E5" w:rsidRPr="006629E5" w:rsidRDefault="006629E5" w:rsidP="006629E5">
            <w:pPr>
              <w:pStyle w:val="BodyText"/>
            </w:pPr>
            <w:r w:rsidRPr="006629E5">
              <w:t xml:space="preserve">To realise the vision for myGov, Government acknowledges the need for myGov to be the most responsive and contemporary part of the delivery system and make pragmatic changes to ensure myGov is offering contemporary support and solutions to agencies. Government will progress work to develop a new approach to enable the opportunity to build once and use many times to meet the needs of a range of service delivery challenges. It will also provide an opportunity to explore government services being delivered in new, non- traditional and flexible ways that avoids additional costs to Government through the development of duplicated and bespoke solutions and delivers a better service for Australians. </w:t>
            </w:r>
          </w:p>
          <w:p w14:paraId="4971E406" w14:textId="77777777" w:rsidR="006629E5" w:rsidRPr="006629E5" w:rsidRDefault="006629E5" w:rsidP="006629E5">
            <w:pPr>
              <w:pStyle w:val="BodyText"/>
            </w:pPr>
            <w:r w:rsidRPr="006629E5">
              <w:t>Government, through Services Australia, will review its current approach to operating and delivering across government agencies. This will be done in consultation with existing and potential new partner services focusing on ways to deliver value easily and quickly. Achieving a new world-class approach to service and support for agencies utilising myGov will be underpinned and further enabled under recommendations 4, 5 and 7.</w:t>
            </w:r>
          </w:p>
        </w:tc>
      </w:tr>
    </w:tbl>
    <w:p w14:paraId="45600DDB" w14:textId="77777777" w:rsidR="006629E5" w:rsidRDefault="006629E5" w:rsidP="001541FD">
      <w:pPr>
        <w:pStyle w:val="Heading2"/>
      </w:pPr>
      <w:r>
        <w:t>Recommendation 1</w:t>
      </w:r>
    </w:p>
    <w:p w14:paraId="11006C31" w14:textId="77777777" w:rsidR="006629E5" w:rsidRDefault="006629E5" w:rsidP="001541FD">
      <w:pPr>
        <w:pStyle w:val="BodyText"/>
      </w:pPr>
      <w:r>
        <w:t>Confirm myGov as the ‘go to’ place for people to access services online from the Australian Government and communicate with all Australians.</w:t>
      </w:r>
    </w:p>
    <w:p w14:paraId="58436147" w14:textId="77777777" w:rsidR="006629E5" w:rsidRDefault="006629E5" w:rsidP="001541FD">
      <w:pPr>
        <w:pStyle w:val="BodyText"/>
      </w:pPr>
      <w:r>
        <w:t xml:space="preserve">Government </w:t>
      </w:r>
      <w:r>
        <w:rPr>
          <w:rStyle w:val="Bold"/>
        </w:rPr>
        <w:t>agrees</w:t>
      </w:r>
      <w:r>
        <w:t xml:space="preserve"> to the recommendation. </w:t>
      </w:r>
    </w:p>
    <w:p w14:paraId="2BF7B397" w14:textId="77777777" w:rsidR="006629E5" w:rsidRDefault="006629E5" w:rsidP="001541FD">
      <w:pPr>
        <w:pStyle w:val="BodyText"/>
      </w:pPr>
      <w:r>
        <w:t>Government notes services are still widely distributed across multiple websites and apps, meaning people have to navigate multiple sources of information built around complex government structures to access the support they need. Government will establish a Digital Access Standard through whole-of-government consultation that sets the decision-making criteria to promote digital consolidation, identify opportunities to reuse systems and reduce duplicative investment.</w:t>
      </w:r>
    </w:p>
    <w:p w14:paraId="58B176AE" w14:textId="77777777" w:rsidR="006629E5" w:rsidRDefault="006629E5" w:rsidP="001541FD">
      <w:pPr>
        <w:pStyle w:val="BodyText"/>
      </w:pPr>
      <w:r>
        <w:t xml:space="preserve">It is the Government’s ambition that myGov provides a primary front door for individuals to access digital Government services as a future state. Simplifying and consolidating the broader service delivery </w:t>
      </w:r>
      <w:r>
        <w:lastRenderedPageBreak/>
        <w:t>ecosystem provides opportunity for economic, social and service delivery benefits. Further decisions by government will inform the future of myGov and its role.</w:t>
      </w:r>
    </w:p>
    <w:p w14:paraId="2B22CE59" w14:textId="77777777" w:rsidR="006629E5" w:rsidRDefault="006629E5" w:rsidP="001541FD">
      <w:pPr>
        <w:pStyle w:val="BodyText"/>
      </w:pPr>
      <w:r>
        <w:t xml:space="preserve">Government has commenced work towards this recommendation, however there is a need to increase whole-of-government oversight of investments in the digital service delivery ecosystem. </w:t>
      </w:r>
    </w:p>
    <w:p w14:paraId="7152FDB4" w14:textId="77777777" w:rsidR="006629E5" w:rsidRDefault="006629E5" w:rsidP="001541FD">
      <w:pPr>
        <w:pStyle w:val="BodyText"/>
        <w:rPr>
          <w:rStyle w:val="Bold"/>
        </w:rPr>
      </w:pPr>
      <w:r>
        <w:rPr>
          <w:rStyle w:val="Bold"/>
        </w:rPr>
        <w:t>Document execution makes interacting with government services easier</w:t>
      </w:r>
    </w:p>
    <w:p w14:paraId="17DBC646" w14:textId="77777777" w:rsidR="006629E5" w:rsidRDefault="006629E5" w:rsidP="001541FD">
      <w:pPr>
        <w:pStyle w:val="BodyText"/>
      </w:pPr>
      <w:r>
        <w:t xml:space="preserve">Government has commenced addressing the audit recommendations to make services simple through the delivery of a document execution function within myGov, meaning people no longer need to find someone to manually witness their statutory declaration. Moving forward, there is potential for this capability to be re-used across government services enabling a seamless user experience, such as for passport renewals. </w:t>
      </w:r>
    </w:p>
    <w:p w14:paraId="1B36336C" w14:textId="77777777" w:rsidR="006629E5" w:rsidRDefault="006629E5" w:rsidP="001541FD">
      <w:pPr>
        <w:pStyle w:val="Heading2"/>
      </w:pPr>
      <w:r>
        <w:t>Recommendation 2</w:t>
      </w:r>
    </w:p>
    <w:p w14:paraId="095F65D1" w14:textId="77777777" w:rsidR="006629E5" w:rsidRDefault="006629E5" w:rsidP="001541FD">
      <w:pPr>
        <w:pStyle w:val="BodyText"/>
      </w:pPr>
      <w:r>
        <w:t>Ensure myGov leaves no one behind and upholds Australians’ human rights.</w:t>
      </w:r>
    </w:p>
    <w:p w14:paraId="2BD1C384" w14:textId="77777777" w:rsidR="006629E5" w:rsidRDefault="006629E5" w:rsidP="001541FD">
      <w:pPr>
        <w:pStyle w:val="BodyText"/>
      </w:pPr>
      <w:r>
        <w:t xml:space="preserve">Government </w:t>
      </w:r>
      <w:r>
        <w:rPr>
          <w:rStyle w:val="Bold"/>
        </w:rPr>
        <w:t>agrees</w:t>
      </w:r>
      <w:r>
        <w:t xml:space="preserve"> to the recommendation.</w:t>
      </w:r>
    </w:p>
    <w:p w14:paraId="29466876" w14:textId="697ACCB0" w:rsidR="006629E5" w:rsidRPr="004037BC" w:rsidRDefault="006629E5" w:rsidP="001541FD">
      <w:pPr>
        <w:pStyle w:val="BodyText"/>
      </w:pPr>
      <w:r>
        <w:rPr>
          <w:spacing w:val="-3"/>
        </w:rPr>
        <w:t xml:space="preserve">Digital and online platforms are a huge part of our everyday lives, but 1 in 4 people in Australia are currently facing barriers to accessing or making best use of </w:t>
      </w:r>
      <w:r w:rsidRPr="004037BC">
        <w:t xml:space="preserve">them – Hon. Minister Amanda Rishworth </w:t>
      </w:r>
    </w:p>
    <w:p w14:paraId="0D22319D" w14:textId="77777777" w:rsidR="006629E5" w:rsidRDefault="006629E5" w:rsidP="001541FD">
      <w:pPr>
        <w:pStyle w:val="BodyText"/>
      </w:pPr>
      <w:r>
        <w:t xml:space="preserve">Government will develop a Digital Inclusion Standard that sets requirements for agencies to deliver inclusive and accessible government digital services to ensure services are designed and delivered to leave no one behind. These standards will set levels of acceptable delivery of digital services to all communities including Indigenous, those living with or caring for someone with a disability, and culturally and linguistically diverse. </w:t>
      </w:r>
    </w:p>
    <w:p w14:paraId="73D61718" w14:textId="77777777" w:rsidR="006629E5" w:rsidRDefault="006629E5" w:rsidP="001541FD">
      <w:pPr>
        <w:pStyle w:val="BodyText"/>
      </w:pPr>
      <w:r>
        <w:t xml:space="preserve">Government acknowledges a greater emphasis on consultation with citizens, peak bodies, advocacy groups and front-line service delivery staff throughout the design and development of new government services and capabilities is required. </w:t>
      </w:r>
    </w:p>
    <w:p w14:paraId="7740E35C" w14:textId="77777777" w:rsidR="006629E5" w:rsidRDefault="006629E5" w:rsidP="001541FD">
      <w:pPr>
        <w:pStyle w:val="BodyText"/>
      </w:pPr>
      <w:r>
        <w:t>Government will explore avenues to reducing language and literacy barriers for people accessing a digital service. Government notes Services Australia has experience and significant broad-reaching infrastructure and capabilities, including service centres, remote and regional support and telephony services that could be leveraged to support a collective approach in delivering services to people. Government will consider further decisions needed in relation to ensuring people can switch to another channel if myGov does not work for them.</w:t>
      </w:r>
    </w:p>
    <w:p w14:paraId="0F5F3324" w14:textId="77777777" w:rsidR="006629E5" w:rsidRDefault="006629E5" w:rsidP="001541FD">
      <w:pPr>
        <w:pStyle w:val="BodyText"/>
      </w:pPr>
      <w:r>
        <w:t xml:space="preserve">Government recognises there is an important role in improving digital literacy for all people in Australia, as a way to reducing barriers to access digital services. Government has agreed through the Data and Digital Ministers Meeting to progress initiatives related to digital literacy, inclusion and connectivity across Commonwealth, state and territory governments. </w:t>
      </w:r>
    </w:p>
    <w:p w14:paraId="5239A326" w14:textId="77777777" w:rsidR="006629E5" w:rsidRDefault="006629E5" w:rsidP="001541FD">
      <w:pPr>
        <w:pStyle w:val="BodyText"/>
      </w:pPr>
      <w:r>
        <w:t>Government notes the outcomes of the Privacy Act Review will have implications for the delivery of this recommendation, including how government progresses consent and nominee arrangements.</w:t>
      </w:r>
      <w:r w:rsidRPr="001541FD">
        <w:rPr>
          <w:vertAlign w:val="superscript"/>
        </w:rPr>
        <w:footnoteReference w:id="1"/>
      </w:r>
    </w:p>
    <w:p w14:paraId="0834D60E" w14:textId="77777777" w:rsidR="006629E5" w:rsidRDefault="006629E5" w:rsidP="001541FD">
      <w:pPr>
        <w:pStyle w:val="BodyText"/>
        <w:rPr>
          <w:rStyle w:val="Bold"/>
        </w:rPr>
      </w:pPr>
      <w:r>
        <w:rPr>
          <w:rStyle w:val="Bold"/>
        </w:rPr>
        <w:t>Connecting vulnerable people to government services</w:t>
      </w:r>
    </w:p>
    <w:p w14:paraId="6E04841E" w14:textId="77777777" w:rsidR="006629E5" w:rsidRDefault="006629E5" w:rsidP="001541FD">
      <w:pPr>
        <w:pStyle w:val="BodyText"/>
      </w:pPr>
      <w:r>
        <w:t xml:space="preserve">Government has implemented a pilot to provide support to vulnerable people in Australia with complex circumstances to access essential government services. Services Australia is working alongside, and onsite, with community organisations to connect vulnerable customers who don’t have access to apps </w:t>
      </w:r>
      <w:r>
        <w:lastRenderedPageBreak/>
        <w:t>and computers to claim payments and connect with government and community services based on their individual circumstances.</w:t>
      </w:r>
    </w:p>
    <w:p w14:paraId="3E4D531B" w14:textId="77777777" w:rsidR="006629E5" w:rsidRDefault="006629E5" w:rsidP="001541FD">
      <w:pPr>
        <w:pStyle w:val="BodyText"/>
      </w:pPr>
      <w:r>
        <w:t>In the 2023–24 Budget, Government provided:</w:t>
      </w:r>
    </w:p>
    <w:p w14:paraId="377A1557" w14:textId="529521F5" w:rsidR="006629E5" w:rsidRDefault="006629E5" w:rsidP="001541FD">
      <w:pPr>
        <w:pStyle w:val="ListBullet"/>
      </w:pPr>
      <w:r>
        <w:tab/>
        <w:t>$10.0 million over 3 years for broadband and mobile services upgrades to support digital connectivity needs for First Nations people in Central Australia through the Regional Connectivity Program.</w:t>
      </w:r>
    </w:p>
    <w:p w14:paraId="61917EF9" w14:textId="3E449E54" w:rsidR="006629E5" w:rsidRDefault="006629E5" w:rsidP="001541FD">
      <w:pPr>
        <w:pStyle w:val="ListBullet"/>
      </w:pPr>
      <w:r>
        <w:tab/>
        <w:t>$0.3 million to provide mobile and internet for Wi-Fi connectivity in Alice Springs Town Camps through the Digital Connectivity Project.</w:t>
      </w:r>
    </w:p>
    <w:p w14:paraId="25C10487" w14:textId="77777777" w:rsidR="006629E5" w:rsidRDefault="006629E5" w:rsidP="001541FD">
      <w:pPr>
        <w:pStyle w:val="Heading2"/>
      </w:pPr>
      <w:r>
        <w:t>Recommendation 3</w:t>
      </w:r>
    </w:p>
    <w:p w14:paraId="78D7825C" w14:textId="77777777" w:rsidR="006629E5" w:rsidRDefault="006629E5" w:rsidP="001541FD">
      <w:pPr>
        <w:pStyle w:val="BodyText"/>
      </w:pPr>
      <w:r>
        <w:t>Legislate myGov as national service delivery infrastructure.</w:t>
      </w:r>
    </w:p>
    <w:p w14:paraId="7EB10305" w14:textId="77777777" w:rsidR="006629E5" w:rsidRDefault="006629E5" w:rsidP="001541FD">
      <w:pPr>
        <w:pStyle w:val="BodyText"/>
      </w:pPr>
      <w:r>
        <w:t xml:space="preserve">Government </w:t>
      </w:r>
      <w:r>
        <w:rPr>
          <w:rStyle w:val="Bold"/>
        </w:rPr>
        <w:t>notes</w:t>
      </w:r>
      <w:r>
        <w:t xml:space="preserve"> the recommendation. </w:t>
      </w:r>
    </w:p>
    <w:p w14:paraId="67CDE3E7" w14:textId="77777777" w:rsidR="006629E5" w:rsidRDefault="006629E5" w:rsidP="001541FD">
      <w:pPr>
        <w:pStyle w:val="BodyText"/>
      </w:pPr>
      <w:r>
        <w:t xml:space="preserve">Government notes that a number of practical barriers remain in place that inhibit the vision for myGov to join-up service delivery for individuals. This includes the interplay between key parts of program legislation, secrecy provisions and statutory requirements that prevent end-to-end information sharing and connected experiences. </w:t>
      </w:r>
    </w:p>
    <w:p w14:paraId="60AD1651" w14:textId="0213BA86" w:rsidR="006629E5" w:rsidRDefault="006629E5" w:rsidP="001541FD">
      <w:pPr>
        <w:pStyle w:val="BodyText"/>
      </w:pPr>
      <w:r>
        <w:t xml:space="preserve">Government agrees to exploring pathways that will support the joined-up delivery of government </w:t>
      </w:r>
      <w:r>
        <w:rPr>
          <w:spacing w:val="-2"/>
        </w:rPr>
        <w:t xml:space="preserve">services and will invest in further discovery work to investigate what, if any, are the legislative barriers in realising the potential of myGov, how legislation could further improve citizen’s rights and confidence in </w:t>
      </w:r>
      <w:r>
        <w:t>digital services, and to inform government’s decisions and actions toward this recommendation.</w:t>
      </w:r>
      <w:r w:rsidRPr="001541FD">
        <w:rPr>
          <w:vertAlign w:val="superscript"/>
        </w:rPr>
        <w:footnoteReference w:id="2"/>
      </w:r>
    </w:p>
    <w:p w14:paraId="6B3E15DD" w14:textId="77777777" w:rsidR="006629E5" w:rsidRDefault="006629E5" w:rsidP="001541FD">
      <w:pPr>
        <w:pStyle w:val="BodyText"/>
        <w:rPr>
          <w:rStyle w:val="Bold"/>
          <w:spacing w:val="-2"/>
        </w:rPr>
      </w:pPr>
      <w:r>
        <w:rPr>
          <w:rStyle w:val="Bold"/>
          <w:spacing w:val="-2"/>
        </w:rPr>
        <w:t>Technology and the digital world is accelerating and legislation has not kept pace</w:t>
      </w:r>
    </w:p>
    <w:p w14:paraId="47D9A377" w14:textId="77777777" w:rsidR="006629E5" w:rsidRDefault="006629E5" w:rsidP="001541FD">
      <w:pPr>
        <w:pStyle w:val="BodyText"/>
      </w:pPr>
      <w:r>
        <w:t>Government have finalised their response to the Privacy Act Review, aimed at strengthening and modernising Australian Privacy Laws. The outcomes of this review will have implications for future practices, procedures and systems for handling personal information.</w:t>
      </w:r>
    </w:p>
    <w:p w14:paraId="27D7DF19" w14:textId="77777777" w:rsidR="006629E5" w:rsidRDefault="006629E5" w:rsidP="001541FD">
      <w:pPr>
        <w:pStyle w:val="Heading2"/>
      </w:pPr>
      <w:r>
        <w:t>Recommendation 4</w:t>
      </w:r>
    </w:p>
    <w:p w14:paraId="1F969AF3" w14:textId="77777777" w:rsidR="006629E5" w:rsidRDefault="006629E5" w:rsidP="001541FD">
      <w:pPr>
        <w:pStyle w:val="BodyText"/>
        <w:rPr>
          <w:spacing w:val="-3"/>
        </w:rPr>
      </w:pPr>
      <w:r>
        <w:rPr>
          <w:spacing w:val="-3"/>
        </w:rPr>
        <w:t xml:space="preserve">Provide ongoing annual funding of myGov at the same level as </w:t>
      </w:r>
      <w:r>
        <w:t xml:space="preserve">sustainment funding in 2021–22 and the Enhanced myGov Program and establish a ‘myGov development fund’ to resource onboarding </w:t>
      </w:r>
      <w:r>
        <w:rPr>
          <w:spacing w:val="-3"/>
        </w:rPr>
        <w:t>of new services and improvement of existing linked services.</w:t>
      </w:r>
    </w:p>
    <w:p w14:paraId="6FC32016" w14:textId="77777777" w:rsidR="006629E5" w:rsidRDefault="006629E5" w:rsidP="001541FD">
      <w:pPr>
        <w:pStyle w:val="BodyText"/>
      </w:pPr>
      <w:r>
        <w:t xml:space="preserve">Government </w:t>
      </w:r>
      <w:r>
        <w:rPr>
          <w:rStyle w:val="Bold"/>
        </w:rPr>
        <w:t>agrees in-principle</w:t>
      </w:r>
      <w:r>
        <w:t xml:space="preserve"> to the recommendation. </w:t>
      </w:r>
    </w:p>
    <w:p w14:paraId="2BB2D498" w14:textId="77777777" w:rsidR="006629E5" w:rsidRDefault="006629E5" w:rsidP="001541FD">
      <w:pPr>
        <w:pStyle w:val="BodyText"/>
      </w:pPr>
      <w:r>
        <w:t>Government acknowledges that the investment made to date to enhance myGov has created a secure, scalable foundation to support the onboarding of new services and capabilities. The 2023–24 Budget invested $134.5 million to operate and maintain myGov, ensuring it remains contemporary, secure and user-friendly.</w:t>
      </w:r>
    </w:p>
    <w:p w14:paraId="06929494" w14:textId="77777777" w:rsidR="006629E5" w:rsidRDefault="006629E5" w:rsidP="001541FD">
      <w:pPr>
        <w:pStyle w:val="BodyText"/>
      </w:pPr>
      <w:r>
        <w:t>Government will make a decision on appropriate ongoing funding for myGov in the 2024–25 Budget to preserve and operate the platform, ensuring it remains secure and contemporary.</w:t>
      </w:r>
    </w:p>
    <w:p w14:paraId="405A9E93" w14:textId="77777777" w:rsidR="006629E5" w:rsidRDefault="006629E5" w:rsidP="001541FD">
      <w:pPr>
        <w:pStyle w:val="BodyText"/>
      </w:pPr>
      <w:r>
        <w:t xml:space="preserve">Government invested more than $2 billion for digital and ICT capabilities in the 2023–24 Budget </w:t>
      </w:r>
    </w:p>
    <w:p w14:paraId="6F8238B4" w14:textId="77777777" w:rsidR="006629E5" w:rsidRDefault="006629E5" w:rsidP="001541FD">
      <w:pPr>
        <w:pStyle w:val="BodyText"/>
      </w:pPr>
      <w:r>
        <w:lastRenderedPageBreak/>
        <w:t xml:space="preserve">The Data and Digital Government Strategy highlights the need for new funding models to provide secure, ongoing funding to support whole-of-government digital and ICT delivery. Services Australia will explore funding options for onboarding and future improvements to myGov. </w:t>
      </w:r>
    </w:p>
    <w:p w14:paraId="5D9D03C3" w14:textId="77777777" w:rsidR="006629E5" w:rsidRDefault="006629E5" w:rsidP="001541FD">
      <w:pPr>
        <w:pStyle w:val="Heading2"/>
      </w:pPr>
      <w:r>
        <w:t>Recommendation 5</w:t>
      </w:r>
    </w:p>
    <w:p w14:paraId="6BA6488C" w14:textId="77777777" w:rsidR="006629E5" w:rsidRDefault="006629E5" w:rsidP="001541FD">
      <w:pPr>
        <w:pStyle w:val="BodyText"/>
      </w:pPr>
      <w:r>
        <w:t>Publish during 2023 a rolling 5-year roadmap for developing myGov, updated annually.</w:t>
      </w:r>
    </w:p>
    <w:p w14:paraId="653A1499" w14:textId="77777777" w:rsidR="006629E5" w:rsidRDefault="006629E5" w:rsidP="001541FD">
      <w:pPr>
        <w:pStyle w:val="BodyText"/>
      </w:pPr>
      <w:r>
        <w:t xml:space="preserve">Government </w:t>
      </w:r>
      <w:r>
        <w:rPr>
          <w:rStyle w:val="Bold"/>
        </w:rPr>
        <w:t>agrees in-principle</w:t>
      </w:r>
      <w:r>
        <w:t xml:space="preserve"> to the recommendation </w:t>
      </w:r>
    </w:p>
    <w:p w14:paraId="00352799" w14:textId="77777777" w:rsidR="006629E5" w:rsidRPr="006629E5" w:rsidRDefault="006629E5" w:rsidP="001541FD">
      <w:pPr>
        <w:pStyle w:val="BodyText"/>
        <w:rPr>
          <w:outline/>
          <w:color w:val="000000"/>
          <w14:textOutline w14:w="9525" w14:cap="flat" w14:cmpd="sng" w14:algn="ctr">
            <w14:solidFill>
              <w14:srgbClr w14:val="000000"/>
            </w14:solidFill>
            <w14:prstDash w14:val="solid"/>
            <w14:round/>
          </w14:textOutline>
          <w14:textFill>
            <w14:noFill/>
          </w14:textFill>
        </w:rPr>
      </w:pPr>
      <w:r>
        <w:t>Government agrees to develop a rolling roadmap for myGov that sets out services and functionality through myGov that will be reviewed every 12 months, and published to citizens as part of the broader government implementation plan for the Data and Digital Government Strategy. The roadmap will set out the strategic vision for myGov and will be informed by government priorities, policies, insights from customer research and feedback.</w:t>
      </w:r>
      <w:r w:rsidRPr="006629E5">
        <w:rPr>
          <w:outline/>
          <w:color w:val="000000"/>
          <w14:textOutline w14:w="9525" w14:cap="flat" w14:cmpd="sng" w14:algn="ctr">
            <w14:solidFill>
              <w14:srgbClr w14:val="000000"/>
            </w14:solidFill>
            <w14:prstDash w14:val="solid"/>
            <w14:round/>
          </w14:textOutline>
          <w14:textFill>
            <w14:noFill/>
          </w14:textFill>
        </w:rPr>
        <w:t xml:space="preserve"> </w:t>
      </w:r>
      <w:r w:rsidRPr="001541FD">
        <w:rPr>
          <w:vertAlign w:val="superscript"/>
        </w:rPr>
        <w:footnoteReference w:id="3"/>
      </w:r>
    </w:p>
    <w:p w14:paraId="123CCF48" w14:textId="49F5DBE2" w:rsidR="006629E5" w:rsidRDefault="006629E5" w:rsidP="001541FD">
      <w:pPr>
        <w:pStyle w:val="BodyText"/>
        <w:rPr>
          <w:sz w:val="22"/>
          <w:szCs w:val="22"/>
        </w:rPr>
      </w:pPr>
      <w:r>
        <w:rPr>
          <w:spacing w:val="-5"/>
        </w:rPr>
        <w:t xml:space="preserve">The Australian Government will deliver simple, secure and connected public services </w:t>
      </w:r>
      <w:r>
        <w:rPr>
          <w:spacing w:val="-4"/>
        </w:rPr>
        <w:t>for all people and business through world class data and digital capabilities by 2030</w:t>
      </w:r>
      <w:r w:rsidR="001541FD">
        <w:rPr>
          <w:spacing w:val="-4"/>
        </w:rPr>
        <w:t xml:space="preserve"> </w:t>
      </w:r>
      <w:r>
        <w:rPr>
          <w:sz w:val="22"/>
          <w:szCs w:val="22"/>
        </w:rPr>
        <w:t xml:space="preserve">– Data and Digital Government Strategy </w:t>
      </w:r>
    </w:p>
    <w:p w14:paraId="41E8C790" w14:textId="77777777" w:rsidR="006629E5" w:rsidRDefault="006629E5" w:rsidP="001541FD">
      <w:pPr>
        <w:pStyle w:val="BodyText"/>
        <w:rPr>
          <w:rStyle w:val="Bold"/>
        </w:rPr>
      </w:pPr>
      <w:r>
        <w:rPr>
          <w:rStyle w:val="Bold"/>
        </w:rPr>
        <w:t>Government’s vision for the future of digital government services</w:t>
      </w:r>
    </w:p>
    <w:p w14:paraId="1A3CAF52" w14:textId="77777777" w:rsidR="006629E5" w:rsidRDefault="006629E5" w:rsidP="001541FD">
      <w:pPr>
        <w:pStyle w:val="BodyText"/>
      </w:pPr>
      <w:r>
        <w:t>Government has set their vision for the future of digital government services through the Data and Digital Government Strategy. The strategy confirms commitment for the Commonwealth to work collaboratively, and with all tiers of government, industry and academia to progress towards the 2030 vision.</w:t>
      </w:r>
    </w:p>
    <w:p w14:paraId="21B3A551" w14:textId="77777777" w:rsidR="006629E5" w:rsidRDefault="006629E5" w:rsidP="001541FD">
      <w:pPr>
        <w:pStyle w:val="Heading2"/>
      </w:pPr>
      <w:r>
        <w:t>Recommendation 6</w:t>
      </w:r>
    </w:p>
    <w:p w14:paraId="03D9CD3A" w14:textId="77777777" w:rsidR="006629E5" w:rsidRDefault="006629E5" w:rsidP="001541FD">
      <w:pPr>
        <w:pStyle w:val="BodyText"/>
      </w:pPr>
      <w:r>
        <w:t>Accelerate development of Australia’s national digital identity ecosystem, prioritising the protection of security, privacy, safety, and other human rights with a view to government digital identity being safe, easy to use and secure.</w:t>
      </w:r>
    </w:p>
    <w:p w14:paraId="55A2D168" w14:textId="77777777" w:rsidR="006629E5" w:rsidRDefault="006629E5" w:rsidP="001541FD">
      <w:pPr>
        <w:pStyle w:val="BodyText"/>
      </w:pPr>
      <w:r>
        <w:t xml:space="preserve">Government </w:t>
      </w:r>
      <w:r>
        <w:rPr>
          <w:rStyle w:val="Bold"/>
        </w:rPr>
        <w:t>agrees</w:t>
      </w:r>
      <w:r>
        <w:t xml:space="preserve"> to the recommendation.</w:t>
      </w:r>
    </w:p>
    <w:p w14:paraId="62486A7B" w14:textId="5956CE63" w:rsidR="006629E5" w:rsidRPr="004037BC" w:rsidRDefault="006629E5" w:rsidP="004037BC">
      <w:pPr>
        <w:pStyle w:val="BodyText"/>
      </w:pPr>
      <w:r w:rsidRPr="004037BC">
        <w:t xml:space="preserve">Australia’s approach to identity resilience needs to keep pace with our economic and social activities, and the changing nature of identity crime – National Strategy for Identity Resilience. </w:t>
      </w:r>
    </w:p>
    <w:p w14:paraId="0F29D983" w14:textId="77777777" w:rsidR="006629E5" w:rsidRDefault="006629E5" w:rsidP="001541FD">
      <w:pPr>
        <w:pStyle w:val="BodyText"/>
      </w:pPr>
      <w:r>
        <w:t xml:space="preserve">Government notes that a Digital Identity (Digital ID) provides a secure way for people to access their online services. Creating and using a Digital ID is a voluntary, secure and convenient way for Australians to access government services they rely on. The Australian Government Digital ID provider is myGovID and can be used as credentials to sign in to myGov, reducing the need to remember usernames and passwords. Using a Digital ID to access services includes the ability to allow people to digitally confirm their identity when accessing services. </w:t>
      </w:r>
    </w:p>
    <w:p w14:paraId="538A2E7C" w14:textId="0DE97DB0" w:rsidR="006629E5" w:rsidRPr="006629E5" w:rsidRDefault="006629E5" w:rsidP="001541FD">
      <w:pPr>
        <w:pStyle w:val="BodyText"/>
        <w:rPr>
          <w:outline/>
          <w:color w:val="000000"/>
          <w14:textOutline w14:w="9525" w14:cap="flat" w14:cmpd="sng" w14:algn="ctr">
            <w14:solidFill>
              <w14:srgbClr w14:val="000000"/>
            </w14:solidFill>
            <w14:prstDash w14:val="solid"/>
            <w14:round/>
          </w14:textOutline>
          <w14:textFill>
            <w14:noFill/>
          </w14:textFill>
        </w:rPr>
      </w:pPr>
      <w:r>
        <w:t>Government supports accelerated development of Australia’s national digital identity system and the introduction of legislation to support its broader rollout. Implementation of this recommendation will be guided by the outcomes of the Department of Finance-led Digital ID Taskforce, including to progress Digital ID legislation. The Government has invested to sustain and develop the next stage of the Digital ID Program, as it transitions to an economy-wide Digital ID ecosystem with an independent regulator. The expanded use of Digital ID will ensure that, in the future, services will be able to choose to use Digital ID instead of collecting people’s personal information, thereby helping to minimise the impact of future potential data breaches involving identity data.</w:t>
      </w:r>
      <w:r w:rsidRPr="001541FD">
        <w:rPr>
          <w:vertAlign w:val="superscript"/>
        </w:rPr>
        <w:footnoteReference w:id="4"/>
      </w:r>
    </w:p>
    <w:p w14:paraId="77263837" w14:textId="77777777" w:rsidR="006629E5" w:rsidRDefault="006629E5" w:rsidP="001541FD">
      <w:pPr>
        <w:pStyle w:val="BodyText"/>
        <w:rPr>
          <w:rStyle w:val="Bold"/>
        </w:rPr>
      </w:pPr>
      <w:r>
        <w:rPr>
          <w:rStyle w:val="Bold"/>
        </w:rPr>
        <w:lastRenderedPageBreak/>
        <w:t xml:space="preserve">Working together to protect people from identity crime </w:t>
      </w:r>
    </w:p>
    <w:p w14:paraId="104788C6" w14:textId="77777777" w:rsidR="006629E5" w:rsidRDefault="006629E5" w:rsidP="001541FD">
      <w:pPr>
        <w:pStyle w:val="BodyText"/>
      </w:pPr>
      <w:r>
        <w:t>The National Strategy for Identity Resilience was released and demonstrates the commitment by the Commonwealth and state and territory governments to work together to better protect the people of Australia from identity crime. This strategy is an important part of the broader whole-of-nation cyber security efforts, including the development of the 2023–2030 Australian Cyber Security Strategy.</w:t>
      </w:r>
    </w:p>
    <w:p w14:paraId="54BF2059" w14:textId="77777777" w:rsidR="006629E5" w:rsidRDefault="006629E5" w:rsidP="001541FD">
      <w:pPr>
        <w:pStyle w:val="Heading2"/>
      </w:pPr>
      <w:r>
        <w:t>Recommendation 7</w:t>
      </w:r>
    </w:p>
    <w:p w14:paraId="4348CE39" w14:textId="77777777" w:rsidR="006629E5" w:rsidRDefault="006629E5" w:rsidP="001541FD">
      <w:pPr>
        <w:pStyle w:val="BodyText"/>
      </w:pPr>
      <w:r>
        <w:t xml:space="preserve">Introduce by mid-2023 citizen-centred governance and </w:t>
      </w:r>
      <w:r>
        <w:rPr>
          <w:spacing w:val="-3"/>
        </w:rPr>
        <w:t xml:space="preserve">operational arrangements for myGov and myGovID to overcome </w:t>
      </w:r>
      <w:r>
        <w:t>government siloes and drive inclusion and performance.</w:t>
      </w:r>
    </w:p>
    <w:p w14:paraId="5B1C3D04" w14:textId="77777777" w:rsidR="006629E5" w:rsidRDefault="006629E5" w:rsidP="001541FD">
      <w:pPr>
        <w:pStyle w:val="BodyText"/>
      </w:pPr>
      <w:r>
        <w:t xml:space="preserve">Government </w:t>
      </w:r>
      <w:r>
        <w:rPr>
          <w:rStyle w:val="Bold"/>
        </w:rPr>
        <w:t xml:space="preserve">agrees in-principle </w:t>
      </w:r>
      <w:r>
        <w:t xml:space="preserve">to the recommendation. </w:t>
      </w:r>
    </w:p>
    <w:p w14:paraId="655DBA43" w14:textId="77777777" w:rsidR="006629E5" w:rsidRDefault="006629E5" w:rsidP="001541FD">
      <w:pPr>
        <w:pStyle w:val="BodyText"/>
      </w:pPr>
      <w:r>
        <w:t>Future governance arrangements will be considered as part of long-term funding for myGov in the Budget process. Renewed governance arrangements will be designed to underpin a joined-up service delivery model through ongoing collaboration across government to put citizens at the heart of the decision-making process, and give a voice to partner services in myGov decisions. An interim Independent Advisory Board was established in December 2023 to provide expert advice to the Minister for Government Services on projects, policies and initiatives ensuring they are ethical, uphold human rights, have a focus on customer service and are beneficial to Australians and the economy.</w:t>
      </w:r>
    </w:p>
    <w:p w14:paraId="57BF8730" w14:textId="3580166F" w:rsidR="006629E5" w:rsidRDefault="006629E5" w:rsidP="001541FD">
      <w:pPr>
        <w:pStyle w:val="BodyText"/>
      </w:pPr>
      <w:r>
        <w:t>In alignment with the Government’s Digital ID program, Government agrees that governance of myGov and myGovID will remain separate, with myGovID remaining part of the Digital ID Program, to consider whole of economy impacts, whilst myGov focuses on Government service delivery.</w:t>
      </w:r>
      <w:r w:rsidRPr="001541FD">
        <w:rPr>
          <w:vertAlign w:val="superscript"/>
        </w:rPr>
        <w:footnoteReference w:id="5"/>
      </w:r>
    </w:p>
    <w:p w14:paraId="69B21706" w14:textId="77777777" w:rsidR="006629E5" w:rsidRDefault="006629E5" w:rsidP="001541FD">
      <w:pPr>
        <w:pStyle w:val="BodyText"/>
        <w:rPr>
          <w:rStyle w:val="Bold"/>
        </w:rPr>
      </w:pPr>
      <w:r>
        <w:rPr>
          <w:rStyle w:val="Bold"/>
        </w:rPr>
        <w:t>Governance mechanisms are strong, however there is more to do</w:t>
      </w:r>
    </w:p>
    <w:p w14:paraId="702A322B" w14:textId="77777777" w:rsidR="006629E5" w:rsidRDefault="006629E5" w:rsidP="001541FD">
      <w:pPr>
        <w:pStyle w:val="BodyText"/>
      </w:pPr>
      <w:r>
        <w:t xml:space="preserve">Government confirms through the Data and Digital Government Strategy that there are strong governance mechanisms in place to coordinate cross agency efforts with state and territory governments. This includes the inter-jurisdictional forums like the Data and Digital Ministers Meeting and cross-APS bodies such as the Secretaries’ Digital and Data Committee. </w:t>
      </w:r>
    </w:p>
    <w:p w14:paraId="598F4517" w14:textId="77777777" w:rsidR="006629E5" w:rsidRDefault="006629E5" w:rsidP="001541FD">
      <w:pPr>
        <w:pStyle w:val="Heading2"/>
      </w:pPr>
      <w:r>
        <w:t>Recommendation 8</w:t>
      </w:r>
    </w:p>
    <w:p w14:paraId="685A5939" w14:textId="77777777" w:rsidR="006629E5" w:rsidRDefault="006629E5" w:rsidP="001541FD">
      <w:pPr>
        <w:pStyle w:val="BodyText"/>
      </w:pPr>
      <w:r>
        <w:t>Partner with the states and territories on a 5-year plan to make it easy for people to find and do what they need to across all levels of government.</w:t>
      </w:r>
    </w:p>
    <w:p w14:paraId="6D1DBFB0" w14:textId="77777777" w:rsidR="006629E5" w:rsidRDefault="006629E5" w:rsidP="001541FD">
      <w:pPr>
        <w:pStyle w:val="BodyText"/>
      </w:pPr>
      <w:r>
        <w:t xml:space="preserve">Government </w:t>
      </w:r>
      <w:r>
        <w:rPr>
          <w:rStyle w:val="Bold"/>
        </w:rPr>
        <w:t>agrees</w:t>
      </w:r>
      <w:r>
        <w:t xml:space="preserve"> to the recommendation. </w:t>
      </w:r>
    </w:p>
    <w:p w14:paraId="294FB6EE" w14:textId="77777777" w:rsidR="006629E5" w:rsidRDefault="006629E5" w:rsidP="001541FD">
      <w:pPr>
        <w:pStyle w:val="BodyText"/>
      </w:pPr>
      <w:r>
        <w:t>Government has partnered with states and territories to develop a life events model to make it easier for people of Australia to access the services they need across all levels of Government. Getting married, having a child, retiring or death of a loved are some examples where joining up information and services can help the experience people have with government.</w:t>
      </w:r>
    </w:p>
    <w:p w14:paraId="722982D4" w14:textId="77777777" w:rsidR="006629E5" w:rsidRDefault="006629E5" w:rsidP="001541FD">
      <w:pPr>
        <w:pStyle w:val="BodyText"/>
      </w:pPr>
      <w:r>
        <w:t xml:space="preserve">The Commonwealth will lead the implementation of recommendations of the cross-jurisdiction program Life Events Review in collaboration with states and territories through the Data and Digital Ministers Meeting (DDMM), as part of a renewed National Life Events Program. </w:t>
      </w:r>
    </w:p>
    <w:p w14:paraId="3D8CEBF6" w14:textId="77777777" w:rsidR="006629E5" w:rsidRDefault="006629E5" w:rsidP="001541FD">
      <w:pPr>
        <w:pStyle w:val="BodyText"/>
      </w:pPr>
      <w:r>
        <w:t xml:space="preserve">Data and Digital senior officials from the Commonwealth and all states and territories agreed in May 2023 to the establishment of a Data and Digital Ministers Meeting (DDMM) working group with representatives from all jurisdictions, to lead work to develop a 5-year plan that provides a coordinated approach to digital service delivery and joined-up experiences for people using them. </w:t>
      </w:r>
    </w:p>
    <w:p w14:paraId="62451A67" w14:textId="77777777" w:rsidR="006629E5" w:rsidRDefault="006629E5" w:rsidP="001541FD">
      <w:pPr>
        <w:pStyle w:val="BodyText"/>
      </w:pPr>
      <w:r>
        <w:lastRenderedPageBreak/>
        <w:t>Government notes the scope of the state and territory plan would expand beyond myGov, as noted in the Audit’s recommendation by covering digital service integration across all digital services, not just those limited to myGov. The plan would leverage existing Government efforts on life events, Digital ID and verifiable credentials. The plan will intersect with the roadmap for myGov as outlined in recommendation 5.</w:t>
      </w:r>
    </w:p>
    <w:p w14:paraId="1012B9B0" w14:textId="77777777" w:rsidR="006629E5" w:rsidRDefault="006629E5" w:rsidP="001541FD">
      <w:pPr>
        <w:pStyle w:val="BodyText"/>
        <w:rPr>
          <w:rStyle w:val="Bold"/>
        </w:rPr>
      </w:pPr>
      <w:r>
        <w:rPr>
          <w:rStyle w:val="Bold"/>
        </w:rPr>
        <w:t>Working with states and territories to connect tiers of government services</w:t>
      </w:r>
    </w:p>
    <w:p w14:paraId="396A475D" w14:textId="77777777" w:rsidR="006629E5" w:rsidRDefault="006629E5" w:rsidP="001541FD">
      <w:pPr>
        <w:pStyle w:val="BodyText"/>
      </w:pPr>
      <w:r>
        <w:t xml:space="preserve">The Birth of a Child trial is delivering a streamlined experience, in select sites, for birth mothers to enrol their newborn with Services Australia. The trial aims to reduce the burden of filling out forms and interacting with government by re-using data government already holds. The future of the trial intends to enrol newborns in Medicare, streamline family claims with Centrelink and assist in registering births with state-based Births, Deaths and Marriages registries. With consent, data is exchanged meaning birth mothers will no longer have to complete three forms, and interact with three government organisations to register their baby for services. </w:t>
      </w:r>
    </w:p>
    <w:p w14:paraId="754F2CDB" w14:textId="77777777" w:rsidR="006629E5" w:rsidRDefault="006629E5" w:rsidP="001541FD">
      <w:pPr>
        <w:pStyle w:val="Heading2"/>
      </w:pPr>
      <w:r>
        <w:t>Recommendation 9</w:t>
      </w:r>
    </w:p>
    <w:p w14:paraId="7978CEF5" w14:textId="77777777" w:rsidR="006629E5" w:rsidRDefault="006629E5" w:rsidP="001541FD">
      <w:pPr>
        <w:pStyle w:val="BodyText"/>
      </w:pPr>
      <w:r>
        <w:t>Design and build myGov in alignment with a refreshed and enforced Australian Government Architecture, incorporating the Design System and the Service Standard.</w:t>
      </w:r>
    </w:p>
    <w:p w14:paraId="2AA88185" w14:textId="77777777" w:rsidR="006629E5" w:rsidRDefault="006629E5" w:rsidP="001541FD">
      <w:pPr>
        <w:pStyle w:val="BodyText"/>
      </w:pPr>
      <w:r>
        <w:t xml:space="preserve">Government </w:t>
      </w:r>
      <w:r>
        <w:rPr>
          <w:rStyle w:val="Bold"/>
        </w:rPr>
        <w:t>agrees in-principle</w:t>
      </w:r>
      <w:r>
        <w:t xml:space="preserve"> to the recommendation.</w:t>
      </w:r>
    </w:p>
    <w:p w14:paraId="1D7D902E" w14:textId="77777777" w:rsidR="006629E5" w:rsidRDefault="006629E5" w:rsidP="001541FD">
      <w:pPr>
        <w:pStyle w:val="BodyText"/>
      </w:pPr>
      <w:r>
        <w:t xml:space="preserve">Government has released a vision for scalable, secure and resilient architecture, through the Data and Digital Government Strategy. </w:t>
      </w:r>
    </w:p>
    <w:p w14:paraId="7510E569" w14:textId="78015746" w:rsidR="006629E5" w:rsidRDefault="006629E5" w:rsidP="001541FD">
      <w:pPr>
        <w:pStyle w:val="BodyText"/>
        <w:rPr>
          <w:spacing w:val="-2"/>
        </w:rPr>
      </w:pPr>
      <w:r>
        <w:t>Government continues to support the development of the Australian Government Architecture (AGA)</w:t>
      </w:r>
      <w:r>
        <w:rPr>
          <w:spacing w:val="-2"/>
        </w:rPr>
        <w:t xml:space="preserve">—a collection of digital artefacts and guidance materials to align to the digital direction of government. </w:t>
      </w:r>
      <w:r>
        <w:t xml:space="preserve">Government will expand the AGA by incorporating new policies and standards that will improve interoperability and inclusion of digital services addressing gaps in the digital policy landscape. </w:t>
      </w:r>
    </w:p>
    <w:p w14:paraId="243DEFE5" w14:textId="77777777" w:rsidR="006629E5" w:rsidRDefault="006629E5" w:rsidP="001541FD">
      <w:pPr>
        <w:pStyle w:val="BodyText"/>
        <w:rPr>
          <w:spacing w:val="-4"/>
        </w:rPr>
      </w:pPr>
      <w:r>
        <w:t xml:space="preserve">Government will take the lessons learnt from the previous design system and consider how this can be refreshed to be used by partner services to support more seamless and connected services with myGov. </w:t>
      </w:r>
    </w:p>
    <w:p w14:paraId="7728FCAE" w14:textId="77777777" w:rsidR="006629E5" w:rsidRDefault="006629E5" w:rsidP="001541FD">
      <w:pPr>
        <w:pStyle w:val="BodyText"/>
        <w:rPr>
          <w:spacing w:val="-2"/>
        </w:rPr>
      </w:pPr>
      <w:r>
        <w:rPr>
          <w:spacing w:val="-1"/>
        </w:rPr>
        <w:t xml:space="preserve">Government has updated the Digital Service Standard to set the requirements for how to design </w:t>
      </w:r>
      <w:r>
        <w:rPr>
          <w:spacing w:val="-2"/>
        </w:rPr>
        <w:t xml:space="preserve">and build digital services for the community, business and employees that are user-designed, inclusive and measurable. </w:t>
      </w:r>
    </w:p>
    <w:p w14:paraId="7A728CE7" w14:textId="77777777" w:rsidR="006629E5" w:rsidRDefault="006629E5" w:rsidP="001541FD">
      <w:pPr>
        <w:pStyle w:val="BodyText"/>
      </w:pPr>
      <w:r>
        <w:t xml:space="preserve">Following advice from the Australian Signals Directorate’s Australian Cyber Security Centre, Government does not support the recommendation to publish open-source code due to cyber security concerns of such an approach. </w:t>
      </w:r>
    </w:p>
    <w:p w14:paraId="17947720" w14:textId="77777777" w:rsidR="006629E5" w:rsidRPr="006629E5" w:rsidRDefault="006629E5" w:rsidP="001541FD">
      <w:pPr>
        <w:pStyle w:val="BodyText"/>
        <w:rPr>
          <w:outline/>
          <w:color w:val="000000"/>
          <w14:textOutline w14:w="9525" w14:cap="flat" w14:cmpd="sng" w14:algn="ctr">
            <w14:solidFill>
              <w14:srgbClr w14:val="000000"/>
            </w14:solidFill>
            <w14:prstDash w14:val="solid"/>
            <w14:round/>
          </w14:textOutline>
          <w14:textFill>
            <w14:noFill/>
          </w14:textFill>
        </w:rPr>
      </w:pPr>
      <w:r>
        <w:t xml:space="preserve">Government notes a collective approach will strengthen safety and security, and reduce the risks of cyber-attacks, imitation, and phishing of sign in pages. A whole-of-government approach to reviewing and maintaining the security and resilience of myGov and its partner agencies will be progressed to support the expansion of myGov. </w:t>
      </w:r>
      <w:r w:rsidRPr="001541FD">
        <w:rPr>
          <w:vertAlign w:val="superscript"/>
        </w:rPr>
        <w:footnoteReference w:id="6"/>
      </w:r>
    </w:p>
    <w:p w14:paraId="35AACE2F" w14:textId="77777777" w:rsidR="006629E5" w:rsidRDefault="006629E5" w:rsidP="001541FD">
      <w:pPr>
        <w:pStyle w:val="BodyText"/>
        <w:rPr>
          <w:rStyle w:val="Bold"/>
        </w:rPr>
      </w:pPr>
      <w:r>
        <w:rPr>
          <w:rStyle w:val="Bold"/>
        </w:rPr>
        <w:t>Strengthening Australia’s cyber security position</w:t>
      </w:r>
    </w:p>
    <w:p w14:paraId="74B4A674" w14:textId="77777777" w:rsidR="006629E5" w:rsidRDefault="006629E5" w:rsidP="001541FD">
      <w:pPr>
        <w:pStyle w:val="BodyText"/>
      </w:pPr>
      <w:r>
        <w:t xml:space="preserve">On 3 July 2023, Australia’s inaugural National Cyber Security Coordinator (the Coordinator) commenced. The Coordinator, together with the National Office of Cyber Security (NOCS) within the </w:t>
      </w:r>
      <w:r>
        <w:lastRenderedPageBreak/>
        <w:t xml:space="preserve">Department of Home Affairs, serves as a focal point for Australia’s strategic response to cyber security threats, challenges and opportunities, and will work closely with industry and critical infrastructure owners and operators to build a cyber resilient Australia. </w:t>
      </w:r>
    </w:p>
    <w:p w14:paraId="5162B7FC" w14:textId="77777777" w:rsidR="006629E5" w:rsidRDefault="006629E5" w:rsidP="001541FD">
      <w:pPr>
        <w:pStyle w:val="BodyText"/>
      </w:pPr>
      <w:r>
        <w:t>Government will soon release the 2023–2030 Australian Cyber Security Strategy, which commits to Australia being a world-leading cyber secure and resilient nation by 2030.</w:t>
      </w:r>
    </w:p>
    <w:p w14:paraId="3E15CBE4" w14:textId="77777777" w:rsidR="006629E5" w:rsidRDefault="006629E5" w:rsidP="001541FD">
      <w:pPr>
        <w:pStyle w:val="Heading2"/>
      </w:pPr>
      <w:r>
        <w:t>Recommendation 10</w:t>
      </w:r>
    </w:p>
    <w:p w14:paraId="653BCE61" w14:textId="77777777" w:rsidR="006629E5" w:rsidRDefault="006629E5" w:rsidP="001541FD">
      <w:pPr>
        <w:pStyle w:val="BodyText"/>
      </w:pPr>
      <w:r>
        <w:t>Services Australia develop and adopt a new world-class approach to service and support to government agencies utilising myGov.</w:t>
      </w:r>
    </w:p>
    <w:p w14:paraId="4269564D" w14:textId="77777777" w:rsidR="006629E5" w:rsidRDefault="006629E5" w:rsidP="001541FD">
      <w:pPr>
        <w:pStyle w:val="BodyText"/>
      </w:pPr>
      <w:r>
        <w:t xml:space="preserve">Government </w:t>
      </w:r>
      <w:r>
        <w:rPr>
          <w:rStyle w:val="Bold"/>
        </w:rPr>
        <w:t>agrees in-principle</w:t>
      </w:r>
      <w:r>
        <w:t xml:space="preserve"> to this recommendation. </w:t>
      </w:r>
    </w:p>
    <w:p w14:paraId="5E209380" w14:textId="77777777" w:rsidR="006629E5" w:rsidRDefault="006629E5" w:rsidP="001541FD">
      <w:pPr>
        <w:pStyle w:val="BodyText"/>
      </w:pPr>
      <w:r>
        <w:t>The Government’s ambition is to shift myGov to be the primary front door for government services, where possible and appropriate. Government acknowledges the need for myGov to be the most responsive and contemporary part of the delivery system, including making pragmatic changes to ensure myGov is offering contemporary support and solutions to agencies. Government will progress work to develop a new approach to enable the opportunity to build once and use many times to meet the needs of a range of service delivery challenges.</w:t>
      </w:r>
    </w:p>
    <w:p w14:paraId="22C772F0" w14:textId="77777777" w:rsidR="006629E5" w:rsidRDefault="006629E5" w:rsidP="001541FD">
      <w:pPr>
        <w:pStyle w:val="BodyText"/>
      </w:pPr>
      <w:r>
        <w:t>It will also provide an opportunity to explore government services being delivered in new, non-traditional and flexible ways that avoid additional costs to Government through the development of duplicated and bespoke solutions and deliver a better service for Australians. Initiatives such as the Digital Traineeship Program will ensure that Government is positioned with the skills needed to deliver digital services.</w:t>
      </w:r>
    </w:p>
    <w:p w14:paraId="58912812" w14:textId="77777777" w:rsidR="006629E5" w:rsidRDefault="006629E5" w:rsidP="006629E5">
      <w:pPr>
        <w:pStyle w:val="BodyText"/>
      </w:pPr>
      <w:r>
        <w:t xml:space="preserve">Government, through Services Australia, will review the current approach to development and operations and explore options and feasibility for a whole-of-government approach to the design, development and delivery of products for myGov. </w:t>
      </w:r>
    </w:p>
    <w:p w14:paraId="53BB0DEF" w14:textId="77777777" w:rsidR="006629E5" w:rsidRDefault="006629E5" w:rsidP="001541FD">
      <w:pPr>
        <w:pStyle w:val="BodyText"/>
        <w:rPr>
          <w:rStyle w:val="Bold"/>
        </w:rPr>
      </w:pPr>
      <w:r>
        <w:rPr>
          <w:rStyle w:val="Bold"/>
        </w:rPr>
        <w:t xml:space="preserve">Digital skills for the future of Australia’s economy </w:t>
      </w:r>
    </w:p>
    <w:p w14:paraId="4A126A08" w14:textId="77777777" w:rsidR="006629E5" w:rsidRDefault="006629E5" w:rsidP="001541FD">
      <w:pPr>
        <w:pStyle w:val="BodyText"/>
      </w:pPr>
      <w:r>
        <w:t>Government has established a Digital Traineeship Program, with placements for 1000 digital trainees over the next 4 years. Further, Government is also exploring a digital and data internship program, and further initiatives to build the capability needed and attract and retain data and digital skills in the APS to meet the growing emerging skill need.</w:t>
      </w:r>
    </w:p>
    <w:p w14:paraId="533531E0" w14:textId="7AD499D0" w:rsidR="00876891" w:rsidRDefault="00E96BB0" w:rsidP="00B87C17">
      <w:pPr>
        <w:pStyle w:val="ProductCode"/>
      </w:pPr>
      <w:bookmarkStart w:id="0" w:name="ColumnTitle_Schedule"/>
      <w:bookmarkEnd w:id="0"/>
      <w:r>
        <w:t>16175.2310</w:t>
      </w:r>
    </w:p>
    <w:sectPr w:rsidR="00876891" w:rsidSect="00877919">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4E9E" w14:textId="77777777" w:rsidR="00E96BB0" w:rsidRDefault="00E96BB0" w:rsidP="00C77FE4">
      <w:r>
        <w:separator/>
      </w:r>
    </w:p>
  </w:endnote>
  <w:endnote w:type="continuationSeparator" w:id="0">
    <w:p w14:paraId="25E6CABB" w14:textId="77777777" w:rsidR="00E96BB0" w:rsidRDefault="00E96BB0" w:rsidP="00C7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F Centro Sans Pro">
    <w:panose1 w:val="00000000000000000000"/>
    <w:charset w:val="00"/>
    <w:family w:val="modern"/>
    <w:notTrueType/>
    <w:pitch w:val="variable"/>
    <w:sig w:usb0="E00002BF" w:usb1="5000E0F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EF92" w14:textId="77777777" w:rsidR="00E96BB0" w:rsidRDefault="00E96BB0" w:rsidP="00C77FE4">
      <w:r>
        <w:separator/>
      </w:r>
    </w:p>
  </w:footnote>
  <w:footnote w:type="continuationSeparator" w:id="0">
    <w:p w14:paraId="3DB8FD71" w14:textId="77777777" w:rsidR="00E96BB0" w:rsidRDefault="00E96BB0" w:rsidP="00C77FE4">
      <w:r>
        <w:continuationSeparator/>
      </w:r>
    </w:p>
  </w:footnote>
  <w:footnote w:id="1">
    <w:p w14:paraId="6D1894D9" w14:textId="7B773D0B" w:rsidR="006629E5" w:rsidRDefault="006629E5" w:rsidP="006629E5">
      <w:pPr>
        <w:pStyle w:val="FootnoteText"/>
      </w:pPr>
      <w:r>
        <w:rPr>
          <w:vertAlign w:val="superscript"/>
        </w:rPr>
        <w:footnoteRef/>
      </w:r>
      <w:r>
        <w:t>Department of Social Services [website] accessed July 2023, &lt;</w:t>
      </w:r>
      <w:r w:rsidR="00B41B73" w:rsidRPr="00B41B73">
        <w:t>https://ministers.dss.gov.au/media-releases/8936</w:t>
      </w:r>
      <w:r>
        <w:t>&gt;</w:t>
      </w:r>
    </w:p>
  </w:footnote>
  <w:footnote w:id="2">
    <w:p w14:paraId="75CEB10C" w14:textId="1961D5E1" w:rsidR="006629E5" w:rsidRDefault="006629E5" w:rsidP="006629E5">
      <w:pPr>
        <w:pStyle w:val="FootnoteText"/>
      </w:pPr>
      <w:r>
        <w:rPr>
          <w:vertAlign w:val="superscript"/>
        </w:rPr>
        <w:footnoteRef/>
      </w:r>
      <w:r>
        <w:t>Attorney-General’s Department [website] accessed August 2023, &lt;</w:t>
      </w:r>
      <w:r w:rsidR="00B41B73" w:rsidRPr="00B41B73">
        <w:t>https://www.ag.gov.au/rights-and-protections/publications/privacy-act-review-report</w:t>
      </w:r>
      <w:r>
        <w:t>&gt;</w:t>
      </w:r>
    </w:p>
  </w:footnote>
  <w:footnote w:id="3">
    <w:p w14:paraId="48EB9932" w14:textId="3D2291EA" w:rsidR="006629E5" w:rsidRDefault="006629E5" w:rsidP="006629E5">
      <w:pPr>
        <w:pStyle w:val="FootnoteText"/>
      </w:pPr>
      <w:r>
        <w:rPr>
          <w:vertAlign w:val="superscript"/>
        </w:rPr>
        <w:footnoteRef/>
      </w:r>
      <w:r>
        <w:t>Data and Digital [website], Data and Digital Government Strategy, released 2023 &lt;https:www.dataanddigital.gov.au&gt;</w:t>
      </w:r>
    </w:p>
  </w:footnote>
  <w:footnote w:id="4">
    <w:p w14:paraId="4CF2C23C" w14:textId="4780B3C4" w:rsidR="006629E5" w:rsidRDefault="006629E5" w:rsidP="006629E5">
      <w:pPr>
        <w:pStyle w:val="FootnoteText"/>
      </w:pPr>
      <w:r>
        <w:rPr>
          <w:vertAlign w:val="superscript"/>
        </w:rPr>
        <w:footnoteRef/>
      </w:r>
      <w:r>
        <w:rPr>
          <w:spacing w:val="-2"/>
        </w:rPr>
        <w:t xml:space="preserve">Department of Home Affairs, National Strategy for Identity Resilience – Resilient identities – hard to steal, and if compromised, </w:t>
      </w:r>
      <w:r>
        <w:t>easy to restore 2023.</w:t>
      </w:r>
      <w:r>
        <w:t> </w:t>
      </w:r>
    </w:p>
  </w:footnote>
  <w:footnote w:id="5">
    <w:p w14:paraId="1367F9A8" w14:textId="7244833E" w:rsidR="006629E5" w:rsidRDefault="006629E5" w:rsidP="006629E5">
      <w:pPr>
        <w:pStyle w:val="FootnoteText"/>
      </w:pPr>
      <w:r>
        <w:rPr>
          <w:vertAlign w:val="superscript"/>
        </w:rPr>
        <w:footnoteRef/>
      </w:r>
      <w:r>
        <w:t>Data and Digital [website], Data and Digital Government Strategy, released 2023 &lt;https:www.dataanddigital.gov.au&gt;</w:t>
      </w:r>
    </w:p>
  </w:footnote>
  <w:footnote w:id="6">
    <w:p w14:paraId="16E14F71" w14:textId="77777777" w:rsidR="006629E5" w:rsidRDefault="006629E5" w:rsidP="006629E5">
      <w:pPr>
        <w:pStyle w:val="FootnoteText"/>
      </w:pPr>
      <w:r>
        <w:rPr>
          <w:vertAlign w:val="superscript"/>
        </w:rPr>
        <w:footnoteRef/>
      </w:r>
      <w:r>
        <w:t>Prime Minister of Australia [website], accessed August 2023 &lt;https:www.pm.gov.au/media/appointment-national-cyber-security-coordinator&gt;</w:t>
      </w:r>
    </w:p>
    <w:p w14:paraId="5CB1585F" w14:textId="77777777" w:rsidR="006629E5" w:rsidRDefault="006629E5" w:rsidP="006629E5">
      <w:pPr>
        <w:pStyle w:val="FootnoteText"/>
      </w:pPr>
      <w:r>
        <w:t>Australian Government Department of Home Affairs [website], accessed August 2023 &lt;https:www.homeaffairs.gov.au/about-us/our-portfolios/cyber-security/strategy/2023-2030-australian-cyber-security-strategy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443F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A64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B62B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3C37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4EA4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1412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5A1D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8810D0"/>
    <w:lvl w:ilvl="0">
      <w:start w:val="1"/>
      <w:numFmt w:val="bullet"/>
      <w:pStyle w:val="ListBullet2"/>
      <w:lvlText w:val=""/>
      <w:lvlJc w:val="left"/>
      <w:pPr>
        <w:ind w:left="717" w:hanging="360"/>
      </w:pPr>
      <w:rPr>
        <w:rFonts w:ascii="Symbol" w:hAnsi="Symbol" w:hint="default"/>
      </w:rPr>
    </w:lvl>
  </w:abstractNum>
  <w:abstractNum w:abstractNumId="8" w15:restartNumberingAfterBreak="0">
    <w:nsid w:val="FFFFFF88"/>
    <w:multiLevelType w:val="singleLevel"/>
    <w:tmpl w:val="EF7624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E05A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5791549"/>
    <w:multiLevelType w:val="hybridMultilevel"/>
    <w:tmpl w:val="7C48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B2445"/>
    <w:multiLevelType w:val="hybridMultilevel"/>
    <w:tmpl w:val="7556DC1C"/>
    <w:lvl w:ilvl="0" w:tplc="D660D4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4334413">
    <w:abstractNumId w:val="9"/>
  </w:num>
  <w:num w:numId="2" w16cid:durableId="1316296536">
    <w:abstractNumId w:val="7"/>
  </w:num>
  <w:num w:numId="3" w16cid:durableId="1001740524">
    <w:abstractNumId w:val="6"/>
  </w:num>
  <w:num w:numId="4" w16cid:durableId="1849758122">
    <w:abstractNumId w:val="5"/>
  </w:num>
  <w:num w:numId="5" w16cid:durableId="189758250">
    <w:abstractNumId w:val="4"/>
  </w:num>
  <w:num w:numId="6" w16cid:durableId="529072772">
    <w:abstractNumId w:val="8"/>
  </w:num>
  <w:num w:numId="7" w16cid:durableId="909927818">
    <w:abstractNumId w:val="3"/>
  </w:num>
  <w:num w:numId="8" w16cid:durableId="577208068">
    <w:abstractNumId w:val="2"/>
  </w:num>
  <w:num w:numId="9" w16cid:durableId="1344357860">
    <w:abstractNumId w:val="1"/>
  </w:num>
  <w:num w:numId="10" w16cid:durableId="892883737">
    <w:abstractNumId w:val="0"/>
  </w:num>
  <w:num w:numId="11" w16cid:durableId="1536772628">
    <w:abstractNumId w:val="10"/>
  </w:num>
  <w:num w:numId="12" w16cid:durableId="7695463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B0"/>
    <w:rsid w:val="000076F8"/>
    <w:rsid w:val="00015456"/>
    <w:rsid w:val="000156A2"/>
    <w:rsid w:val="00015AE7"/>
    <w:rsid w:val="00032A7E"/>
    <w:rsid w:val="00044271"/>
    <w:rsid w:val="00047ECA"/>
    <w:rsid w:val="00054392"/>
    <w:rsid w:val="00054F06"/>
    <w:rsid w:val="000671E4"/>
    <w:rsid w:val="00071651"/>
    <w:rsid w:val="00091FBD"/>
    <w:rsid w:val="000967ED"/>
    <w:rsid w:val="000A254A"/>
    <w:rsid w:val="000A5E33"/>
    <w:rsid w:val="000B4048"/>
    <w:rsid w:val="000C5A32"/>
    <w:rsid w:val="000D246D"/>
    <w:rsid w:val="000E2170"/>
    <w:rsid w:val="000E5AEE"/>
    <w:rsid w:val="000F2731"/>
    <w:rsid w:val="00105ADB"/>
    <w:rsid w:val="00106CBE"/>
    <w:rsid w:val="00111E1D"/>
    <w:rsid w:val="00120212"/>
    <w:rsid w:val="0012437B"/>
    <w:rsid w:val="00132C19"/>
    <w:rsid w:val="00140AB3"/>
    <w:rsid w:val="001541FD"/>
    <w:rsid w:val="001678AC"/>
    <w:rsid w:val="001718F2"/>
    <w:rsid w:val="001859C2"/>
    <w:rsid w:val="001A7379"/>
    <w:rsid w:val="001A7D06"/>
    <w:rsid w:val="001C0E50"/>
    <w:rsid w:val="001E5563"/>
    <w:rsid w:val="001E55A2"/>
    <w:rsid w:val="001F312C"/>
    <w:rsid w:val="00211456"/>
    <w:rsid w:val="00244B07"/>
    <w:rsid w:val="00251E3F"/>
    <w:rsid w:val="002556F0"/>
    <w:rsid w:val="00256A48"/>
    <w:rsid w:val="00280896"/>
    <w:rsid w:val="002B682A"/>
    <w:rsid w:val="002C67B2"/>
    <w:rsid w:val="002E0853"/>
    <w:rsid w:val="002F3DA7"/>
    <w:rsid w:val="00300910"/>
    <w:rsid w:val="00313C9F"/>
    <w:rsid w:val="00331B6F"/>
    <w:rsid w:val="0036715B"/>
    <w:rsid w:val="00372C03"/>
    <w:rsid w:val="00374B97"/>
    <w:rsid w:val="00382845"/>
    <w:rsid w:val="003868BB"/>
    <w:rsid w:val="00386ECC"/>
    <w:rsid w:val="003926AC"/>
    <w:rsid w:val="00393DCE"/>
    <w:rsid w:val="003A29E7"/>
    <w:rsid w:val="003E0728"/>
    <w:rsid w:val="003E4B19"/>
    <w:rsid w:val="003F2DCC"/>
    <w:rsid w:val="003F3FE6"/>
    <w:rsid w:val="004027EB"/>
    <w:rsid w:val="004037BC"/>
    <w:rsid w:val="004046AA"/>
    <w:rsid w:val="00404F1C"/>
    <w:rsid w:val="00412B68"/>
    <w:rsid w:val="004202FF"/>
    <w:rsid w:val="004353EC"/>
    <w:rsid w:val="0043780F"/>
    <w:rsid w:val="0044432E"/>
    <w:rsid w:val="00451B0A"/>
    <w:rsid w:val="00454A1A"/>
    <w:rsid w:val="00464F97"/>
    <w:rsid w:val="004760B3"/>
    <w:rsid w:val="00480407"/>
    <w:rsid w:val="004967BA"/>
    <w:rsid w:val="00496E7D"/>
    <w:rsid w:val="004A56A1"/>
    <w:rsid w:val="004B05EB"/>
    <w:rsid w:val="004C2789"/>
    <w:rsid w:val="004C3F91"/>
    <w:rsid w:val="004C46FC"/>
    <w:rsid w:val="004E064F"/>
    <w:rsid w:val="004F0442"/>
    <w:rsid w:val="00515AE9"/>
    <w:rsid w:val="00515B62"/>
    <w:rsid w:val="00521EBE"/>
    <w:rsid w:val="00522E98"/>
    <w:rsid w:val="0053686B"/>
    <w:rsid w:val="005447EC"/>
    <w:rsid w:val="00547164"/>
    <w:rsid w:val="00567226"/>
    <w:rsid w:val="005706D2"/>
    <w:rsid w:val="00586555"/>
    <w:rsid w:val="005A433D"/>
    <w:rsid w:val="005B092F"/>
    <w:rsid w:val="005B17EB"/>
    <w:rsid w:val="005E6C88"/>
    <w:rsid w:val="005F00EB"/>
    <w:rsid w:val="005F107D"/>
    <w:rsid w:val="005F1D36"/>
    <w:rsid w:val="005F5542"/>
    <w:rsid w:val="00604426"/>
    <w:rsid w:val="00606393"/>
    <w:rsid w:val="006225D9"/>
    <w:rsid w:val="00642687"/>
    <w:rsid w:val="00654732"/>
    <w:rsid w:val="006629E5"/>
    <w:rsid w:val="00665C7F"/>
    <w:rsid w:val="00677137"/>
    <w:rsid w:val="00677713"/>
    <w:rsid w:val="0069046E"/>
    <w:rsid w:val="006B07C6"/>
    <w:rsid w:val="006C762C"/>
    <w:rsid w:val="006D08E2"/>
    <w:rsid w:val="006D2988"/>
    <w:rsid w:val="006D35B7"/>
    <w:rsid w:val="006D5715"/>
    <w:rsid w:val="006D6F0A"/>
    <w:rsid w:val="006E5778"/>
    <w:rsid w:val="006F3A95"/>
    <w:rsid w:val="00705895"/>
    <w:rsid w:val="00705D14"/>
    <w:rsid w:val="00716746"/>
    <w:rsid w:val="00726026"/>
    <w:rsid w:val="00727EE5"/>
    <w:rsid w:val="00733DA5"/>
    <w:rsid w:val="007350CF"/>
    <w:rsid w:val="0075047E"/>
    <w:rsid w:val="00750D76"/>
    <w:rsid w:val="00754ED8"/>
    <w:rsid w:val="00765891"/>
    <w:rsid w:val="00772850"/>
    <w:rsid w:val="007771BF"/>
    <w:rsid w:val="0078491F"/>
    <w:rsid w:val="007868CA"/>
    <w:rsid w:val="0079242F"/>
    <w:rsid w:val="00792D7C"/>
    <w:rsid w:val="00794733"/>
    <w:rsid w:val="007A3699"/>
    <w:rsid w:val="007A6B1C"/>
    <w:rsid w:val="007B4AC9"/>
    <w:rsid w:val="007B5011"/>
    <w:rsid w:val="007B72F3"/>
    <w:rsid w:val="007C4725"/>
    <w:rsid w:val="007D2AE4"/>
    <w:rsid w:val="007D3C35"/>
    <w:rsid w:val="007D500B"/>
    <w:rsid w:val="007D761E"/>
    <w:rsid w:val="007E5532"/>
    <w:rsid w:val="007F7BFB"/>
    <w:rsid w:val="008004E6"/>
    <w:rsid w:val="00802139"/>
    <w:rsid w:val="00861535"/>
    <w:rsid w:val="0086273D"/>
    <w:rsid w:val="00875BC1"/>
    <w:rsid w:val="00876891"/>
    <w:rsid w:val="00877919"/>
    <w:rsid w:val="008806FF"/>
    <w:rsid w:val="008842C6"/>
    <w:rsid w:val="008A165E"/>
    <w:rsid w:val="008B2193"/>
    <w:rsid w:val="008B23EF"/>
    <w:rsid w:val="008B54E0"/>
    <w:rsid w:val="008C199A"/>
    <w:rsid w:val="009102B3"/>
    <w:rsid w:val="00910FA2"/>
    <w:rsid w:val="009118A6"/>
    <w:rsid w:val="0094424A"/>
    <w:rsid w:val="009539AE"/>
    <w:rsid w:val="00972D45"/>
    <w:rsid w:val="00976C5F"/>
    <w:rsid w:val="00985EC6"/>
    <w:rsid w:val="00987378"/>
    <w:rsid w:val="009920AD"/>
    <w:rsid w:val="00997B75"/>
    <w:rsid w:val="009B6CC2"/>
    <w:rsid w:val="009D16AA"/>
    <w:rsid w:val="009E59EB"/>
    <w:rsid w:val="00A06486"/>
    <w:rsid w:val="00A11D8E"/>
    <w:rsid w:val="00A21258"/>
    <w:rsid w:val="00A265A0"/>
    <w:rsid w:val="00A41E85"/>
    <w:rsid w:val="00A52B74"/>
    <w:rsid w:val="00A95C0E"/>
    <w:rsid w:val="00AA3023"/>
    <w:rsid w:val="00AA4D96"/>
    <w:rsid w:val="00AB125B"/>
    <w:rsid w:val="00AB3973"/>
    <w:rsid w:val="00AB4F8F"/>
    <w:rsid w:val="00AC2098"/>
    <w:rsid w:val="00AD7DEA"/>
    <w:rsid w:val="00AE6BC5"/>
    <w:rsid w:val="00AF2611"/>
    <w:rsid w:val="00AF2766"/>
    <w:rsid w:val="00AF59AF"/>
    <w:rsid w:val="00B105F1"/>
    <w:rsid w:val="00B20D55"/>
    <w:rsid w:val="00B307C0"/>
    <w:rsid w:val="00B35443"/>
    <w:rsid w:val="00B4027C"/>
    <w:rsid w:val="00B40681"/>
    <w:rsid w:val="00B41B73"/>
    <w:rsid w:val="00B5279C"/>
    <w:rsid w:val="00B76C26"/>
    <w:rsid w:val="00B87C17"/>
    <w:rsid w:val="00B90686"/>
    <w:rsid w:val="00B97936"/>
    <w:rsid w:val="00BA2D0A"/>
    <w:rsid w:val="00BA2EF2"/>
    <w:rsid w:val="00BB0ADA"/>
    <w:rsid w:val="00BB36E2"/>
    <w:rsid w:val="00BB3E98"/>
    <w:rsid w:val="00BD2D68"/>
    <w:rsid w:val="00BD773A"/>
    <w:rsid w:val="00BF032E"/>
    <w:rsid w:val="00C245AC"/>
    <w:rsid w:val="00C43A50"/>
    <w:rsid w:val="00C46790"/>
    <w:rsid w:val="00C50C30"/>
    <w:rsid w:val="00C713F5"/>
    <w:rsid w:val="00C77FE4"/>
    <w:rsid w:val="00C86E67"/>
    <w:rsid w:val="00C91EEF"/>
    <w:rsid w:val="00C95A69"/>
    <w:rsid w:val="00C96772"/>
    <w:rsid w:val="00CA2FB4"/>
    <w:rsid w:val="00CA3C73"/>
    <w:rsid w:val="00CB6314"/>
    <w:rsid w:val="00CC520F"/>
    <w:rsid w:val="00CD7C3B"/>
    <w:rsid w:val="00CE4300"/>
    <w:rsid w:val="00CE5D91"/>
    <w:rsid w:val="00D05662"/>
    <w:rsid w:val="00D05A32"/>
    <w:rsid w:val="00D22D34"/>
    <w:rsid w:val="00D27B93"/>
    <w:rsid w:val="00D471E5"/>
    <w:rsid w:val="00D61251"/>
    <w:rsid w:val="00D62DEA"/>
    <w:rsid w:val="00D65810"/>
    <w:rsid w:val="00D7585D"/>
    <w:rsid w:val="00D90171"/>
    <w:rsid w:val="00D95D2A"/>
    <w:rsid w:val="00DB50EE"/>
    <w:rsid w:val="00DB5AB6"/>
    <w:rsid w:val="00DF0E65"/>
    <w:rsid w:val="00DF39AF"/>
    <w:rsid w:val="00DF6DA7"/>
    <w:rsid w:val="00E018DC"/>
    <w:rsid w:val="00E05521"/>
    <w:rsid w:val="00E075E7"/>
    <w:rsid w:val="00E22EB2"/>
    <w:rsid w:val="00E24639"/>
    <w:rsid w:val="00E24EC1"/>
    <w:rsid w:val="00E352AC"/>
    <w:rsid w:val="00E454C6"/>
    <w:rsid w:val="00E66C20"/>
    <w:rsid w:val="00E73285"/>
    <w:rsid w:val="00E80126"/>
    <w:rsid w:val="00E84A72"/>
    <w:rsid w:val="00E85228"/>
    <w:rsid w:val="00E96BB0"/>
    <w:rsid w:val="00EA1575"/>
    <w:rsid w:val="00EA7C06"/>
    <w:rsid w:val="00EB6C6C"/>
    <w:rsid w:val="00EC1132"/>
    <w:rsid w:val="00ED34BA"/>
    <w:rsid w:val="00EE07E7"/>
    <w:rsid w:val="00EF0F52"/>
    <w:rsid w:val="00EF141B"/>
    <w:rsid w:val="00EF4814"/>
    <w:rsid w:val="00F07680"/>
    <w:rsid w:val="00F13F24"/>
    <w:rsid w:val="00F14599"/>
    <w:rsid w:val="00F260CA"/>
    <w:rsid w:val="00F612F8"/>
    <w:rsid w:val="00F65C44"/>
    <w:rsid w:val="00F75113"/>
    <w:rsid w:val="00F9462E"/>
    <w:rsid w:val="00F94A6B"/>
    <w:rsid w:val="00FA3BCF"/>
    <w:rsid w:val="00FA722D"/>
    <w:rsid w:val="00FB1495"/>
    <w:rsid w:val="00FB28DE"/>
    <w:rsid w:val="00FC0558"/>
    <w:rsid w:val="00FD356E"/>
    <w:rsid w:val="00FE2064"/>
    <w:rsid w:val="00FE6821"/>
    <w:rsid w:val="00FF775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0287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autoRedefine/>
    <w:rsid w:val="003E4B19"/>
    <w:pPr>
      <w:tabs>
        <w:tab w:val="left" w:pos="1066"/>
      </w:tabs>
    </w:pPr>
    <w:rPr>
      <w:rFonts w:ascii="Arial" w:hAnsi="Arial"/>
      <w:sz w:val="24"/>
      <w:szCs w:val="24"/>
      <w:lang w:eastAsia="en-US"/>
    </w:rPr>
  </w:style>
  <w:style w:type="paragraph" w:styleId="Heading1">
    <w:name w:val="heading 1"/>
    <w:basedOn w:val="Normal"/>
    <w:next w:val="Normal"/>
    <w:autoRedefine/>
    <w:qFormat/>
    <w:rsid w:val="00B87C17"/>
    <w:pPr>
      <w:keepNext/>
      <w:spacing w:after="240"/>
      <w:outlineLvl w:val="0"/>
    </w:pPr>
    <w:rPr>
      <w:rFonts w:cs="Arial"/>
      <w:b/>
      <w:bCs/>
      <w:kern w:val="32"/>
      <w:sz w:val="44"/>
      <w:szCs w:val="32"/>
    </w:rPr>
  </w:style>
  <w:style w:type="paragraph" w:styleId="Heading2">
    <w:name w:val="heading 2"/>
    <w:basedOn w:val="Normal"/>
    <w:next w:val="Normal"/>
    <w:autoRedefine/>
    <w:qFormat/>
    <w:rsid w:val="00B87C17"/>
    <w:pPr>
      <w:keepNext/>
      <w:spacing w:before="240" w:after="240"/>
      <w:outlineLvl w:val="1"/>
    </w:pPr>
    <w:rPr>
      <w:rFonts w:cs="Arial"/>
      <w:b/>
      <w:bCs/>
      <w:iCs/>
      <w:sz w:val="36"/>
      <w:szCs w:val="28"/>
    </w:rPr>
  </w:style>
  <w:style w:type="paragraph" w:styleId="Heading3">
    <w:name w:val="heading 3"/>
    <w:basedOn w:val="Normal"/>
    <w:next w:val="Normal"/>
    <w:autoRedefine/>
    <w:qFormat/>
    <w:rsid w:val="00B87C17"/>
    <w:pPr>
      <w:keepNext/>
      <w:tabs>
        <w:tab w:val="left" w:pos="0"/>
      </w:tabs>
      <w:spacing w:before="240" w:after="240"/>
      <w:outlineLvl w:val="2"/>
    </w:pPr>
    <w:rPr>
      <w:rFonts w:cs="Arial"/>
      <w:b/>
      <w:bCs/>
      <w:sz w:val="32"/>
      <w:szCs w:val="26"/>
    </w:rPr>
  </w:style>
  <w:style w:type="paragraph" w:styleId="Heading4">
    <w:name w:val="heading 4"/>
    <w:basedOn w:val="Normal"/>
    <w:next w:val="Normal"/>
    <w:qFormat/>
    <w:rsid w:val="00B87C17"/>
    <w:pPr>
      <w:keepNext/>
      <w:spacing w:before="60" w:after="120"/>
      <w:outlineLvl w:val="3"/>
    </w:pPr>
    <w:rPr>
      <w:b/>
      <w:bCs/>
      <w:sz w:val="28"/>
      <w:szCs w:val="28"/>
    </w:rPr>
  </w:style>
  <w:style w:type="paragraph" w:styleId="Heading5">
    <w:name w:val="heading 5"/>
    <w:basedOn w:val="Normal"/>
    <w:next w:val="Normal"/>
    <w:qFormat/>
    <w:rsid w:val="00B87C17"/>
    <w:pPr>
      <w:spacing w:before="60" w:after="120"/>
      <w:outlineLvl w:val="4"/>
    </w:pPr>
    <w:rPr>
      <w:b/>
      <w:bCs/>
      <w:i/>
      <w:iCs/>
      <w:sz w:val="26"/>
      <w:szCs w:val="26"/>
    </w:rPr>
  </w:style>
  <w:style w:type="paragraph" w:styleId="Heading6">
    <w:name w:val="heading 6"/>
    <w:basedOn w:val="Normal"/>
    <w:next w:val="Normal"/>
    <w:qFormat/>
    <w:rsid w:val="00B87C17"/>
    <w:pPr>
      <w:spacing w:before="60" w:after="120"/>
      <w:outlineLvl w:val="5"/>
    </w:pPr>
    <w:rPr>
      <w:b/>
      <w:bCs/>
      <w:szCs w:val="22"/>
    </w:rPr>
  </w:style>
  <w:style w:type="paragraph" w:styleId="Heading7">
    <w:name w:val="heading 7"/>
    <w:basedOn w:val="Normal"/>
    <w:next w:val="Normal"/>
    <w:qFormat/>
    <w:rsid w:val="000F2731"/>
    <w:pPr>
      <w:spacing w:before="240" w:after="60"/>
      <w:outlineLvl w:val="6"/>
    </w:pPr>
  </w:style>
  <w:style w:type="paragraph" w:styleId="Heading8">
    <w:name w:val="heading 8"/>
    <w:basedOn w:val="Normal"/>
    <w:next w:val="Normal"/>
    <w:qFormat/>
    <w:rsid w:val="000F2731"/>
    <w:pPr>
      <w:spacing w:before="240" w:after="60"/>
      <w:outlineLvl w:val="7"/>
    </w:pPr>
    <w:rPr>
      <w:i/>
      <w:iCs/>
    </w:rPr>
  </w:style>
  <w:style w:type="paragraph" w:styleId="Heading9">
    <w:name w:val="heading 9"/>
    <w:basedOn w:val="Normal"/>
    <w:next w:val="Normal"/>
    <w:qFormat/>
    <w:rsid w:val="000F2731"/>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Code">
    <w:name w:val="Product Code"/>
    <w:basedOn w:val="BodyText"/>
    <w:autoRedefine/>
    <w:qFormat/>
    <w:rsid w:val="00374B97"/>
    <w:rPr>
      <w:sz w:val="20"/>
      <w:szCs w:val="20"/>
      <w:lang w:val="fr-FR"/>
    </w:rPr>
  </w:style>
  <w:style w:type="paragraph" w:styleId="BalloonText">
    <w:name w:val="Balloon Text"/>
    <w:basedOn w:val="Normal"/>
    <w:semiHidden/>
    <w:rsid w:val="000F2731"/>
    <w:rPr>
      <w:rFonts w:ascii="Tahoma" w:hAnsi="Tahoma" w:cs="Tahoma"/>
      <w:sz w:val="16"/>
      <w:szCs w:val="16"/>
    </w:rPr>
  </w:style>
  <w:style w:type="paragraph" w:styleId="BodyText">
    <w:name w:val="Body Text"/>
    <w:basedOn w:val="Normal"/>
    <w:qFormat/>
    <w:rsid w:val="00B87C17"/>
    <w:pPr>
      <w:spacing w:before="120" w:after="200"/>
    </w:pPr>
  </w:style>
  <w:style w:type="paragraph" w:styleId="CommentText">
    <w:name w:val="annotation text"/>
    <w:basedOn w:val="Normal"/>
    <w:semiHidden/>
    <w:rsid w:val="000F2731"/>
    <w:rPr>
      <w:sz w:val="20"/>
      <w:szCs w:val="20"/>
    </w:rPr>
  </w:style>
  <w:style w:type="paragraph" w:styleId="CommentSubject">
    <w:name w:val="annotation subject"/>
    <w:basedOn w:val="CommentText"/>
    <w:next w:val="CommentText"/>
    <w:semiHidden/>
    <w:rsid w:val="000F2731"/>
    <w:rPr>
      <w:b/>
      <w:bCs/>
    </w:rPr>
  </w:style>
  <w:style w:type="paragraph" w:styleId="DocumentMap">
    <w:name w:val="Document Map"/>
    <w:basedOn w:val="Normal"/>
    <w:semiHidden/>
    <w:rsid w:val="000F2731"/>
    <w:pPr>
      <w:shd w:val="clear" w:color="auto" w:fill="000080"/>
    </w:pPr>
    <w:rPr>
      <w:rFonts w:ascii="Tahoma" w:hAnsi="Tahoma" w:cs="Tahoma"/>
    </w:rPr>
  </w:style>
  <w:style w:type="paragraph" w:styleId="EndnoteText">
    <w:name w:val="endnote text"/>
    <w:basedOn w:val="Normal"/>
    <w:semiHidden/>
    <w:rsid w:val="000F2731"/>
    <w:rPr>
      <w:sz w:val="20"/>
      <w:szCs w:val="20"/>
    </w:rPr>
  </w:style>
  <w:style w:type="paragraph" w:styleId="FootnoteText">
    <w:name w:val="footnote text"/>
    <w:basedOn w:val="Normal"/>
    <w:link w:val="FootnoteTextChar"/>
    <w:uiPriority w:val="99"/>
    <w:rsid w:val="000F2731"/>
    <w:rPr>
      <w:sz w:val="20"/>
      <w:szCs w:val="20"/>
    </w:rPr>
  </w:style>
  <w:style w:type="paragraph" w:styleId="Index1">
    <w:name w:val="index 1"/>
    <w:basedOn w:val="Normal"/>
    <w:next w:val="Normal"/>
    <w:autoRedefine/>
    <w:semiHidden/>
    <w:rsid w:val="000F2731"/>
    <w:pPr>
      <w:tabs>
        <w:tab w:val="clear" w:pos="1066"/>
      </w:tabs>
      <w:ind w:left="240" w:hanging="240"/>
    </w:pPr>
  </w:style>
  <w:style w:type="paragraph" w:styleId="Index2">
    <w:name w:val="index 2"/>
    <w:basedOn w:val="Normal"/>
    <w:next w:val="Normal"/>
    <w:autoRedefine/>
    <w:semiHidden/>
    <w:rsid w:val="000F2731"/>
    <w:pPr>
      <w:tabs>
        <w:tab w:val="clear" w:pos="1066"/>
      </w:tabs>
      <w:ind w:left="480" w:hanging="240"/>
    </w:pPr>
  </w:style>
  <w:style w:type="paragraph" w:styleId="Index3">
    <w:name w:val="index 3"/>
    <w:basedOn w:val="Normal"/>
    <w:next w:val="Normal"/>
    <w:autoRedefine/>
    <w:semiHidden/>
    <w:rsid w:val="000F2731"/>
    <w:pPr>
      <w:tabs>
        <w:tab w:val="clear" w:pos="1066"/>
      </w:tabs>
      <w:ind w:left="720" w:hanging="240"/>
    </w:pPr>
  </w:style>
  <w:style w:type="paragraph" w:styleId="Index4">
    <w:name w:val="index 4"/>
    <w:basedOn w:val="Normal"/>
    <w:next w:val="Normal"/>
    <w:autoRedefine/>
    <w:semiHidden/>
    <w:rsid w:val="000F2731"/>
    <w:pPr>
      <w:tabs>
        <w:tab w:val="clear" w:pos="1066"/>
      </w:tabs>
      <w:ind w:left="960" w:hanging="240"/>
    </w:pPr>
  </w:style>
  <w:style w:type="paragraph" w:styleId="Index5">
    <w:name w:val="index 5"/>
    <w:basedOn w:val="Normal"/>
    <w:next w:val="Normal"/>
    <w:autoRedefine/>
    <w:semiHidden/>
    <w:rsid w:val="000F2731"/>
    <w:pPr>
      <w:tabs>
        <w:tab w:val="clear" w:pos="1066"/>
      </w:tabs>
      <w:ind w:left="1200" w:hanging="240"/>
    </w:pPr>
  </w:style>
  <w:style w:type="paragraph" w:styleId="Index6">
    <w:name w:val="index 6"/>
    <w:basedOn w:val="Normal"/>
    <w:next w:val="Normal"/>
    <w:autoRedefine/>
    <w:semiHidden/>
    <w:rsid w:val="000F2731"/>
    <w:pPr>
      <w:tabs>
        <w:tab w:val="clear" w:pos="1066"/>
      </w:tabs>
      <w:ind w:left="1440" w:hanging="240"/>
    </w:pPr>
  </w:style>
  <w:style w:type="paragraph" w:styleId="Index7">
    <w:name w:val="index 7"/>
    <w:basedOn w:val="Normal"/>
    <w:next w:val="Normal"/>
    <w:autoRedefine/>
    <w:semiHidden/>
    <w:rsid w:val="000F2731"/>
    <w:pPr>
      <w:tabs>
        <w:tab w:val="clear" w:pos="1066"/>
      </w:tabs>
      <w:ind w:left="1680" w:hanging="240"/>
    </w:pPr>
  </w:style>
  <w:style w:type="paragraph" w:styleId="Index8">
    <w:name w:val="index 8"/>
    <w:basedOn w:val="Normal"/>
    <w:next w:val="Normal"/>
    <w:autoRedefine/>
    <w:semiHidden/>
    <w:rsid w:val="000F2731"/>
    <w:pPr>
      <w:tabs>
        <w:tab w:val="clear" w:pos="1066"/>
      </w:tabs>
      <w:ind w:left="1920" w:hanging="240"/>
    </w:pPr>
  </w:style>
  <w:style w:type="paragraph" w:styleId="Index9">
    <w:name w:val="index 9"/>
    <w:basedOn w:val="Normal"/>
    <w:next w:val="Normal"/>
    <w:autoRedefine/>
    <w:semiHidden/>
    <w:rsid w:val="000F2731"/>
    <w:pPr>
      <w:tabs>
        <w:tab w:val="clear" w:pos="1066"/>
      </w:tabs>
      <w:ind w:left="2160" w:hanging="240"/>
    </w:pPr>
  </w:style>
  <w:style w:type="paragraph" w:styleId="IndexHeading">
    <w:name w:val="index heading"/>
    <w:basedOn w:val="Normal"/>
    <w:next w:val="Index1"/>
    <w:semiHidden/>
    <w:rsid w:val="000F2731"/>
    <w:rPr>
      <w:rFonts w:cs="Arial"/>
      <w:b/>
      <w:bCs/>
    </w:rPr>
  </w:style>
  <w:style w:type="paragraph" w:styleId="ListBullet">
    <w:name w:val="List Bullet"/>
    <w:basedOn w:val="Normal"/>
    <w:autoRedefine/>
    <w:qFormat/>
    <w:rsid w:val="00B87C17"/>
    <w:pPr>
      <w:numPr>
        <w:numId w:val="1"/>
      </w:numPr>
      <w:spacing w:after="120"/>
      <w:ind w:left="357" w:hanging="357"/>
    </w:pPr>
  </w:style>
  <w:style w:type="paragraph" w:styleId="ListBullet2">
    <w:name w:val="List Bullet 2"/>
    <w:basedOn w:val="Normal"/>
    <w:autoRedefine/>
    <w:qFormat/>
    <w:rsid w:val="003E0728"/>
    <w:pPr>
      <w:numPr>
        <w:numId w:val="2"/>
      </w:numPr>
      <w:spacing w:after="120"/>
    </w:pPr>
  </w:style>
  <w:style w:type="paragraph" w:styleId="ListBullet3">
    <w:name w:val="List Bullet 3"/>
    <w:basedOn w:val="Normal"/>
    <w:autoRedefine/>
    <w:rsid w:val="000F2731"/>
    <w:pPr>
      <w:numPr>
        <w:numId w:val="3"/>
      </w:numPr>
    </w:pPr>
  </w:style>
  <w:style w:type="paragraph" w:styleId="ListNumber">
    <w:name w:val="List Number"/>
    <w:basedOn w:val="Normal"/>
    <w:qFormat/>
    <w:rsid w:val="00B87C17"/>
    <w:pPr>
      <w:numPr>
        <w:numId w:val="6"/>
      </w:numPr>
      <w:spacing w:after="120"/>
      <w:ind w:left="357" w:hanging="357"/>
    </w:pPr>
  </w:style>
  <w:style w:type="paragraph" w:styleId="ListNumber2">
    <w:name w:val="List Number 2"/>
    <w:basedOn w:val="Normal"/>
    <w:qFormat/>
    <w:rsid w:val="00B87C17"/>
    <w:pPr>
      <w:numPr>
        <w:numId w:val="7"/>
      </w:numPr>
      <w:spacing w:after="120"/>
      <w:ind w:left="714" w:hanging="357"/>
    </w:pPr>
  </w:style>
  <w:style w:type="paragraph" w:styleId="MacroText">
    <w:name w:val="macro"/>
    <w:semiHidden/>
    <w:rsid w:val="000F27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ableofAuthorities">
    <w:name w:val="table of authorities"/>
    <w:basedOn w:val="Normal"/>
    <w:next w:val="Normal"/>
    <w:semiHidden/>
    <w:rsid w:val="000F2731"/>
    <w:pPr>
      <w:tabs>
        <w:tab w:val="clear" w:pos="1066"/>
      </w:tabs>
      <w:ind w:left="240" w:hanging="240"/>
    </w:pPr>
  </w:style>
  <w:style w:type="paragraph" w:styleId="TableofFigures">
    <w:name w:val="table of figures"/>
    <w:basedOn w:val="Normal"/>
    <w:next w:val="Normal"/>
    <w:semiHidden/>
    <w:rsid w:val="000F2731"/>
    <w:pPr>
      <w:tabs>
        <w:tab w:val="clear" w:pos="1066"/>
      </w:tabs>
      <w:ind w:left="480" w:hanging="480"/>
    </w:pPr>
  </w:style>
  <w:style w:type="paragraph" w:styleId="TOAHeading">
    <w:name w:val="toa heading"/>
    <w:basedOn w:val="Normal"/>
    <w:next w:val="Normal"/>
    <w:semiHidden/>
    <w:rsid w:val="000F2731"/>
    <w:pPr>
      <w:spacing w:before="120"/>
    </w:pPr>
    <w:rPr>
      <w:rFonts w:cs="Arial"/>
      <w:b/>
      <w:bCs/>
    </w:rPr>
  </w:style>
  <w:style w:type="paragraph" w:styleId="TOC1">
    <w:name w:val="toc 1"/>
    <w:basedOn w:val="Normal"/>
    <w:next w:val="Normal"/>
    <w:autoRedefine/>
    <w:semiHidden/>
    <w:rsid w:val="000F2731"/>
    <w:pPr>
      <w:tabs>
        <w:tab w:val="clear" w:pos="1066"/>
      </w:tabs>
    </w:pPr>
  </w:style>
  <w:style w:type="paragraph" w:styleId="TOC2">
    <w:name w:val="toc 2"/>
    <w:basedOn w:val="Normal"/>
    <w:next w:val="Normal"/>
    <w:autoRedefine/>
    <w:semiHidden/>
    <w:rsid w:val="000F2731"/>
    <w:pPr>
      <w:tabs>
        <w:tab w:val="clear" w:pos="1066"/>
      </w:tabs>
      <w:ind w:left="240"/>
    </w:pPr>
  </w:style>
  <w:style w:type="paragraph" w:styleId="TOC3">
    <w:name w:val="toc 3"/>
    <w:basedOn w:val="Normal"/>
    <w:next w:val="Normal"/>
    <w:autoRedefine/>
    <w:semiHidden/>
    <w:rsid w:val="000F2731"/>
    <w:pPr>
      <w:tabs>
        <w:tab w:val="clear" w:pos="1066"/>
      </w:tabs>
      <w:ind w:left="480"/>
    </w:pPr>
  </w:style>
  <w:style w:type="paragraph" w:styleId="TOC4">
    <w:name w:val="toc 4"/>
    <w:basedOn w:val="Normal"/>
    <w:next w:val="Normal"/>
    <w:autoRedefine/>
    <w:semiHidden/>
    <w:rsid w:val="000F2731"/>
    <w:pPr>
      <w:tabs>
        <w:tab w:val="clear" w:pos="1066"/>
      </w:tabs>
      <w:ind w:left="720"/>
    </w:pPr>
  </w:style>
  <w:style w:type="paragraph" w:styleId="TOC5">
    <w:name w:val="toc 5"/>
    <w:basedOn w:val="Normal"/>
    <w:next w:val="Normal"/>
    <w:autoRedefine/>
    <w:semiHidden/>
    <w:rsid w:val="000F2731"/>
    <w:pPr>
      <w:tabs>
        <w:tab w:val="clear" w:pos="1066"/>
      </w:tabs>
      <w:ind w:left="960"/>
    </w:pPr>
  </w:style>
  <w:style w:type="paragraph" w:styleId="TOC6">
    <w:name w:val="toc 6"/>
    <w:basedOn w:val="Normal"/>
    <w:next w:val="Normal"/>
    <w:autoRedefine/>
    <w:semiHidden/>
    <w:rsid w:val="000F2731"/>
    <w:pPr>
      <w:tabs>
        <w:tab w:val="clear" w:pos="1066"/>
      </w:tabs>
      <w:ind w:left="1200"/>
    </w:pPr>
  </w:style>
  <w:style w:type="paragraph" w:styleId="TOC7">
    <w:name w:val="toc 7"/>
    <w:basedOn w:val="Normal"/>
    <w:next w:val="Normal"/>
    <w:autoRedefine/>
    <w:semiHidden/>
    <w:rsid w:val="000F2731"/>
    <w:pPr>
      <w:tabs>
        <w:tab w:val="clear" w:pos="1066"/>
      </w:tabs>
      <w:ind w:left="1440"/>
    </w:pPr>
  </w:style>
  <w:style w:type="paragraph" w:styleId="TOC8">
    <w:name w:val="toc 8"/>
    <w:basedOn w:val="Normal"/>
    <w:next w:val="Normal"/>
    <w:autoRedefine/>
    <w:semiHidden/>
    <w:rsid w:val="000F2731"/>
    <w:pPr>
      <w:tabs>
        <w:tab w:val="clear" w:pos="1066"/>
      </w:tabs>
      <w:ind w:left="1680"/>
    </w:pPr>
  </w:style>
  <w:style w:type="paragraph" w:styleId="TOC9">
    <w:name w:val="toc 9"/>
    <w:basedOn w:val="Normal"/>
    <w:next w:val="Normal"/>
    <w:autoRedefine/>
    <w:semiHidden/>
    <w:rsid w:val="000F2731"/>
    <w:pPr>
      <w:tabs>
        <w:tab w:val="clear" w:pos="1066"/>
      </w:tabs>
      <w:ind w:left="1920"/>
    </w:pPr>
  </w:style>
  <w:style w:type="table" w:styleId="TableGrid">
    <w:name w:val="Table Grid"/>
    <w:basedOn w:val="TableNormal"/>
    <w:rsid w:val="00CE4300"/>
    <w:pPr>
      <w:tabs>
        <w:tab w:val="left" w:pos="10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bold">
    <w:name w:val="Body bold"/>
    <w:uiPriority w:val="99"/>
    <w:rsid w:val="00D90171"/>
    <w:rPr>
      <w:rFonts w:ascii="Arial" w:hAnsi="Arial" w:cs="PF Centro Sans Pro"/>
      <w:b/>
      <w:bCs/>
      <w:color w:val="000000"/>
      <w:sz w:val="24"/>
      <w:u w:val="none"/>
      <w:vertAlign w:val="baseline"/>
    </w:rPr>
  </w:style>
  <w:style w:type="paragraph" w:customStyle="1" w:styleId="NoParagraphStyle">
    <w:name w:val="[No Paragraph Style]"/>
    <w:rsid w:val="006629E5"/>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Intropullout">
    <w:name w:val="Intro pullout"/>
    <w:basedOn w:val="NoParagraphStyle"/>
    <w:uiPriority w:val="99"/>
    <w:rsid w:val="006629E5"/>
    <w:pPr>
      <w:keepLines/>
      <w:shd w:val="clear" w:color="auto" w:fill="0B7FAC"/>
      <w:tabs>
        <w:tab w:val="left" w:pos="2835"/>
      </w:tabs>
      <w:suppressAutoHyphens/>
      <w:spacing w:before="227" w:after="454"/>
      <w:ind w:left="227" w:right="227"/>
    </w:pPr>
    <w:rPr>
      <w:rFonts w:ascii="Arial" w:hAnsi="Arial" w:cs="Arial"/>
    </w:rPr>
  </w:style>
  <w:style w:type="paragraph" w:customStyle="1" w:styleId="Finding">
    <w:name w:val="Finding"/>
    <w:basedOn w:val="NoParagraphStyle"/>
    <w:uiPriority w:val="99"/>
    <w:rsid w:val="006629E5"/>
    <w:pPr>
      <w:keepLines/>
      <w:shd w:val="clear" w:color="auto" w:fill="0B7FAC"/>
      <w:tabs>
        <w:tab w:val="left" w:pos="2835"/>
      </w:tabs>
      <w:suppressAutoHyphens/>
      <w:spacing w:before="227" w:after="454"/>
      <w:ind w:left="227" w:right="227"/>
    </w:pPr>
    <w:rPr>
      <w:rFonts w:ascii="Arial" w:hAnsi="Arial" w:cs="Arial"/>
      <w:b/>
      <w:bCs/>
      <w:sz w:val="26"/>
      <w:szCs w:val="26"/>
    </w:rPr>
  </w:style>
  <w:style w:type="paragraph" w:customStyle="1" w:styleId="Position">
    <w:name w:val="Position"/>
    <w:basedOn w:val="BodyText"/>
    <w:uiPriority w:val="99"/>
    <w:rsid w:val="006629E5"/>
    <w:pPr>
      <w:keepLines/>
      <w:shd w:val="clear" w:color="auto" w:fill="0B7FAC"/>
      <w:tabs>
        <w:tab w:val="clear" w:pos="1066"/>
      </w:tabs>
      <w:suppressAutoHyphens/>
      <w:autoSpaceDE w:val="0"/>
      <w:autoSpaceDN w:val="0"/>
      <w:adjustRightInd w:val="0"/>
      <w:spacing w:before="227" w:after="454" w:line="288" w:lineRule="auto"/>
      <w:ind w:left="283" w:right="283"/>
      <w:textAlignment w:val="center"/>
    </w:pPr>
    <w:rPr>
      <w:rFonts w:cs="Arial"/>
      <w:color w:val="000000"/>
      <w:sz w:val="22"/>
      <w:szCs w:val="22"/>
      <w:lang w:val="en-US" w:eastAsia="en-AU"/>
    </w:rPr>
  </w:style>
  <w:style w:type="paragraph" w:customStyle="1" w:styleId="Casestudy">
    <w:name w:val="Case study"/>
    <w:basedOn w:val="BodyText"/>
    <w:uiPriority w:val="99"/>
    <w:rsid w:val="006629E5"/>
    <w:pPr>
      <w:keepLines/>
      <w:shd w:val="clear" w:color="auto" w:fill="151948"/>
      <w:tabs>
        <w:tab w:val="clear" w:pos="1066"/>
      </w:tabs>
      <w:suppressAutoHyphens/>
      <w:autoSpaceDE w:val="0"/>
      <w:autoSpaceDN w:val="0"/>
      <w:adjustRightInd w:val="0"/>
      <w:spacing w:before="227" w:after="454" w:line="288" w:lineRule="auto"/>
      <w:ind w:left="283" w:right="283"/>
      <w:textAlignment w:val="center"/>
    </w:pPr>
    <w:rPr>
      <w:rFonts w:cs="Arial"/>
      <w:color w:val="FFFFFF"/>
      <w:sz w:val="22"/>
      <w:szCs w:val="22"/>
      <w:lang w:val="en-US" w:eastAsia="en-AU"/>
    </w:rPr>
  </w:style>
  <w:style w:type="paragraph" w:customStyle="1" w:styleId="Quotepullout">
    <w:name w:val="Quote/pull out"/>
    <w:basedOn w:val="NoParagraphStyle"/>
    <w:uiPriority w:val="99"/>
    <w:rsid w:val="006629E5"/>
    <w:pPr>
      <w:keepLines/>
      <w:pBdr>
        <w:top w:val="single" w:sz="6" w:space="19" w:color="0B7FAC"/>
        <w:bottom w:val="single" w:sz="6" w:space="11" w:color="0B7FAC"/>
      </w:pBdr>
      <w:tabs>
        <w:tab w:val="left" w:pos="2835"/>
      </w:tabs>
      <w:suppressAutoHyphens/>
      <w:spacing w:before="227" w:after="454"/>
      <w:ind w:left="227" w:right="227"/>
    </w:pPr>
    <w:rPr>
      <w:rFonts w:ascii="Arial" w:hAnsi="Arial" w:cs="Arial"/>
      <w:sz w:val="26"/>
      <w:szCs w:val="26"/>
    </w:rPr>
  </w:style>
  <w:style w:type="character" w:customStyle="1" w:styleId="FootnoteTextChar">
    <w:name w:val="Footnote Text Char"/>
    <w:basedOn w:val="DefaultParagraphFont"/>
    <w:link w:val="FootnoteText"/>
    <w:uiPriority w:val="99"/>
    <w:rsid w:val="006629E5"/>
    <w:rPr>
      <w:rFonts w:ascii="Arial" w:hAnsi="Arial"/>
      <w:lang w:eastAsia="en-US"/>
    </w:rPr>
  </w:style>
  <w:style w:type="character" w:customStyle="1" w:styleId="Bold">
    <w:name w:val="Bold"/>
    <w:uiPriority w:val="99"/>
    <w:rsid w:val="006629E5"/>
    <w:rPr>
      <w:rFonts w:ascii="Arial" w:hAnsi="Arial" w:cs="Arial"/>
      <w:b/>
      <w:bCs/>
    </w:rPr>
  </w:style>
  <w:style w:type="paragraph" w:styleId="Header">
    <w:name w:val="header"/>
    <w:basedOn w:val="Normal"/>
    <w:link w:val="HeaderChar"/>
    <w:uiPriority w:val="99"/>
    <w:unhideWhenUsed/>
    <w:rsid w:val="00E73285"/>
    <w:pPr>
      <w:tabs>
        <w:tab w:val="clear" w:pos="1066"/>
        <w:tab w:val="center" w:pos="4513"/>
        <w:tab w:val="right" w:pos="9026"/>
      </w:tabs>
    </w:pPr>
  </w:style>
  <w:style w:type="character" w:customStyle="1" w:styleId="HeaderChar">
    <w:name w:val="Header Char"/>
    <w:basedOn w:val="DefaultParagraphFont"/>
    <w:link w:val="Header"/>
    <w:uiPriority w:val="99"/>
    <w:rsid w:val="00E73285"/>
    <w:rPr>
      <w:rFonts w:ascii="Arial" w:hAnsi="Arial"/>
      <w:sz w:val="24"/>
      <w:szCs w:val="24"/>
      <w:lang w:eastAsia="en-US"/>
    </w:rPr>
  </w:style>
  <w:style w:type="paragraph" w:styleId="Footer">
    <w:name w:val="footer"/>
    <w:basedOn w:val="Normal"/>
    <w:link w:val="FooterChar"/>
    <w:uiPriority w:val="99"/>
    <w:unhideWhenUsed/>
    <w:rsid w:val="00E73285"/>
    <w:pPr>
      <w:tabs>
        <w:tab w:val="clear" w:pos="1066"/>
        <w:tab w:val="center" w:pos="4513"/>
        <w:tab w:val="right" w:pos="9026"/>
      </w:tabs>
    </w:pPr>
  </w:style>
  <w:style w:type="character" w:customStyle="1" w:styleId="FooterChar">
    <w:name w:val="Footer Char"/>
    <w:basedOn w:val="DefaultParagraphFont"/>
    <w:link w:val="Footer"/>
    <w:uiPriority w:val="99"/>
    <w:rsid w:val="00E73285"/>
    <w:rPr>
      <w:rFonts w:ascii="Arial" w:hAnsi="Arial"/>
      <w:sz w:val="24"/>
      <w:szCs w:val="24"/>
      <w:lang w:eastAsia="en-US"/>
    </w:rPr>
  </w:style>
  <w:style w:type="character" w:styleId="Hyperlink">
    <w:name w:val="Hyperlink"/>
    <w:basedOn w:val="DefaultParagraphFont"/>
    <w:uiPriority w:val="99"/>
    <w:semiHidden/>
    <w:unhideWhenUsed/>
    <w:rsid w:val="00B41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4584</Words>
  <Characters>27025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Government response to the myGov User Audit Report, October 2023</vt:lpstr>
    </vt:vector>
  </TitlesOfParts>
  <Company/>
  <LinksUpToDate>false</LinksUpToDate>
  <CharactersWithSpaces>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myGov User Audit Report, October 2023</dc:title>
  <dc:subject/>
  <dc:creator>Services Australia</dc:creator>
  <cp:keywords>16175.2310</cp:keywords>
  <dc:description/>
  <cp:lastModifiedBy/>
  <cp:revision>1</cp:revision>
  <dcterms:created xsi:type="dcterms:W3CDTF">2023-12-15T09:10:00Z</dcterms:created>
  <dcterms:modified xsi:type="dcterms:W3CDTF">2023-12-17T23:27:00Z</dcterms:modified>
</cp:coreProperties>
</file>